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EE13" w14:textId="4C4D384E" w:rsidR="00AA6812" w:rsidRPr="00ED10AB" w:rsidRDefault="00ED10AB" w:rsidP="00AA6812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</w:rPr>
        <w:t xml:space="preserve">MM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Ш</w:t>
      </w:r>
      <w:r w:rsidR="00AA6812" w:rsidRPr="00ED10AB">
        <w:rPr>
          <w:rFonts w:ascii="Arial" w:hAnsi="Arial" w:cs="Arial"/>
          <w:b/>
          <w:bCs/>
          <w:sz w:val="28"/>
          <w:szCs w:val="28"/>
          <w:lang w:val="sr-Cyrl-RS"/>
        </w:rPr>
        <w:t>та су клиничка испитивања?</w:t>
      </w:r>
    </w:p>
    <w:p w14:paraId="4283157C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1. Опис</w:t>
      </w:r>
    </w:p>
    <w:p w14:paraId="39DC13EF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2. Регулисање клиничких испитивања</w:t>
      </w:r>
    </w:p>
    <w:p w14:paraId="4AF58227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3. Ризици клиничког испитивања</w:t>
      </w:r>
    </w:p>
    <w:p w14:paraId="478EF333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4. Фазе клиничког испитивања</w:t>
      </w:r>
    </w:p>
    <w:p w14:paraId="5214CDFB" w14:textId="1987C39D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5. Како се </w:t>
      </w:r>
      <w:r w:rsidR="00A54608">
        <w:rPr>
          <w:rFonts w:ascii="Arial" w:hAnsi="Arial" w:cs="Arial"/>
          <w:lang w:val="sr-Cyrl-RS"/>
        </w:rPr>
        <w:t>уклључити</w:t>
      </w:r>
      <w:r w:rsidR="00A54608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у клиничко испитивање?</w:t>
      </w:r>
    </w:p>
    <w:p w14:paraId="032F09F4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6. Логистика</w:t>
      </w:r>
    </w:p>
    <w:p w14:paraId="3E9D7B1B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7. Информисани пристанак</w:t>
      </w:r>
    </w:p>
    <w:p w14:paraId="3A888DC2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8. Подобност клиничког испитивања</w:t>
      </w:r>
    </w:p>
    <w:p w14:paraId="160618A2" w14:textId="08682AFD" w:rsidR="00A9432E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9. Шта треба да узмем у обзир пре него што се </w:t>
      </w:r>
      <w:r w:rsidR="00A54608">
        <w:rPr>
          <w:rFonts w:ascii="Arial" w:hAnsi="Arial" w:cs="Arial"/>
          <w:lang w:val="sr-Cyrl-RS"/>
        </w:rPr>
        <w:t>укључим</w:t>
      </w:r>
      <w:r w:rsidR="00A54608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у клиничко испитивање?</w:t>
      </w:r>
    </w:p>
    <w:p w14:paraId="7B773EF3" w14:textId="69EF8FB8" w:rsidR="00AA6812" w:rsidRPr="00ED10AB" w:rsidRDefault="00AA6812" w:rsidP="00AA6812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1. Опис</w:t>
      </w:r>
    </w:p>
    <w:p w14:paraId="28B6E23F" w14:textId="59B9A68E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Клиничка испитивања су истраживачке студије које се спроводе у неколико фаза (</w:t>
      </w:r>
      <w:r w:rsidR="00A54608">
        <w:rPr>
          <w:rFonts w:ascii="Arial" w:hAnsi="Arial" w:cs="Arial"/>
          <w:lang w:val="sr-Cyrl-RS"/>
        </w:rPr>
        <w:t>1</w:t>
      </w:r>
      <w:r w:rsidRPr="00ED10AB">
        <w:rPr>
          <w:rFonts w:ascii="Arial" w:hAnsi="Arial" w:cs="Arial"/>
          <w:lang w:val="sr-Cyrl-RS"/>
        </w:rPr>
        <w:t xml:space="preserve">-4) и користе се за </w:t>
      </w:r>
      <w:r w:rsidR="00A54608">
        <w:rPr>
          <w:rFonts w:ascii="Arial" w:hAnsi="Arial" w:cs="Arial"/>
          <w:lang w:val="sr-Cyrl-RS"/>
        </w:rPr>
        <w:t>испитивање</w:t>
      </w:r>
      <w:r w:rsidR="00A54608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одговарајуће дозе, безбедности и ефикасности лека, </w:t>
      </w:r>
      <w:r w:rsidR="00663615">
        <w:rPr>
          <w:rFonts w:ascii="Arial" w:hAnsi="Arial" w:cs="Arial"/>
          <w:lang w:val="sr-Cyrl-RS"/>
        </w:rPr>
        <w:t xml:space="preserve">дијагностичког </w:t>
      </w:r>
      <w:r w:rsidRPr="00ED10AB">
        <w:rPr>
          <w:rFonts w:ascii="Arial" w:hAnsi="Arial" w:cs="Arial"/>
          <w:lang w:val="sr-Cyrl-RS"/>
        </w:rPr>
        <w:t>поступка или уређаја код људи. Клиничка испитивања такође могу проценити понашање, трендове у дијагностици болести или начине за спречавање одређеног здравственог стања. Не тестирају сва клиничка испитивања одређени лек или интервенцију, нека могу посматрати или прикупљати податке током одређеног периода како би сазнали о болести или популацији пацијената. Сви медицински уређаји, лекови и процедуре морају да прођу ригорозно тестирање у оквиру клиничког испитивања пре него што се широко дистрибуирају општој популацији.</w:t>
      </w:r>
    </w:p>
    <w:p w14:paraId="0B124901" w14:textId="63D4591B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Пре тестирања лека или процедуре на људима, спроводе се истраживања на животињама у лабораторији како би се утврдила ефикасност и безбедност лека или процедуре. Ово се зове претклиничка фаза тестирања. Затим, када се лек или процедура сматра безбедним за тестирање на људима, према регулаторним и етичким властима, клиничко испитивање може напредовати до фазе 1 тестирања код малог броја пацијената. Лек или поступак морају бити тестирани у фази 1 да би се затим прешло </w:t>
      </w:r>
      <w:r w:rsidR="0045784C">
        <w:rPr>
          <w:rFonts w:ascii="Arial" w:hAnsi="Arial" w:cs="Arial"/>
          <w:lang w:val="sr-Cyrl-RS"/>
        </w:rPr>
        <w:t>на следеће фазе</w:t>
      </w:r>
      <w:r w:rsidRPr="00ED10AB">
        <w:rPr>
          <w:rFonts w:ascii="Arial" w:hAnsi="Arial" w:cs="Arial"/>
          <w:lang w:val="sr-Cyrl-RS"/>
        </w:rPr>
        <w:t>. Када лек или процедура успешно прође кроз претклиничку фазу и фазе 1, 2 и 3, истраживачи могу да поднесу захтев за регулаторно одобрење код Европске агенције за лекове (ЕМА) како би лек био доступан у Европи. Ако ЕМА одобри лек или процедуру, онда је на регулаторним властима у свакој земљи у Европи да одлуче да ли ће лек или поступак бити доступан и надокнађен у тој земљи. За додатне информације погледајте одељке „фазе клиничког испитивања“ и „регулација клиничких испитивања“.</w:t>
      </w:r>
    </w:p>
    <w:p w14:paraId="58076C66" w14:textId="77777777" w:rsidR="00AA6812" w:rsidRPr="00ED10AB" w:rsidRDefault="00AA6812">
      <w:pPr>
        <w:spacing w:line="360" w:lineRule="auto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br w:type="page"/>
      </w:r>
    </w:p>
    <w:p w14:paraId="57877517" w14:textId="25D7E283" w:rsidR="00AA6812" w:rsidRPr="00ED10AB" w:rsidRDefault="00AA6812" w:rsidP="00AA6812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2. Регулација клиничких испитивања</w:t>
      </w:r>
    </w:p>
    <w:p w14:paraId="02A3E95F" w14:textId="412146C8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Клиничка испитивања се одвијају широм света и спонзорисана су од стране фармацеутске индустрије, универзитета, разних организација и владе. Пре него што </w:t>
      </w:r>
      <w:r w:rsidR="00BE2FE5">
        <w:rPr>
          <w:rFonts w:ascii="Arial" w:hAnsi="Arial" w:cs="Arial"/>
          <w:lang w:val="sr-Cyrl-RS"/>
        </w:rPr>
        <w:t xml:space="preserve">почне </w:t>
      </w:r>
      <w:r w:rsidRPr="00ED10AB">
        <w:rPr>
          <w:rFonts w:ascii="Arial" w:hAnsi="Arial" w:cs="Arial"/>
          <w:lang w:val="sr-Cyrl-RS"/>
        </w:rPr>
        <w:t xml:space="preserve"> клиничко испитивање, истраживачи морају да направе свеобухватан протокол клиничког испитивања (план студије) и да прођу етичко одобрење у свим земљама у којима је </w:t>
      </w:r>
      <w:r w:rsidR="00BE2FE5">
        <w:rPr>
          <w:rFonts w:ascii="Arial" w:hAnsi="Arial" w:cs="Arial"/>
          <w:lang w:val="sr-Cyrl-RS"/>
        </w:rPr>
        <w:t xml:space="preserve">оно </w:t>
      </w:r>
      <w:r w:rsidRPr="00ED10AB">
        <w:rPr>
          <w:rFonts w:ascii="Arial" w:hAnsi="Arial" w:cs="Arial"/>
          <w:lang w:val="sr-Cyrl-RS"/>
        </w:rPr>
        <w:t xml:space="preserve">планирано. Такође, </w:t>
      </w:r>
      <w:r w:rsidR="00BE2FE5">
        <w:rPr>
          <w:rFonts w:ascii="Arial" w:hAnsi="Arial" w:cs="Arial"/>
          <w:lang w:val="sr-Cyrl-RS"/>
        </w:rPr>
        <w:t xml:space="preserve">потребно је одобрење да </w:t>
      </w:r>
      <w:r w:rsidRPr="00ED10AB">
        <w:rPr>
          <w:rFonts w:ascii="Arial" w:hAnsi="Arial" w:cs="Arial"/>
          <w:lang w:val="sr-Cyrl-RS"/>
        </w:rPr>
        <w:t xml:space="preserve"> клиничко испитивање може да пређе у следећу фазу. Протокол клиничког испитивања обично укључује информације о следећим аспектима:</w:t>
      </w:r>
    </w:p>
    <w:p w14:paraId="653C9835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</w:t>
      </w:r>
      <w:commentRangeStart w:id="0"/>
      <w:r w:rsidRPr="00ED10AB">
        <w:rPr>
          <w:rFonts w:ascii="Arial" w:hAnsi="Arial" w:cs="Arial"/>
          <w:lang w:val="sr-Cyrl-RS"/>
        </w:rPr>
        <w:t>Позадина</w:t>
      </w:r>
      <w:commentRangeEnd w:id="0"/>
      <w:r w:rsidR="00BE2FE5">
        <w:rPr>
          <w:rStyle w:val="CommentReference"/>
        </w:rPr>
        <w:commentReference w:id="0"/>
      </w:r>
      <w:r w:rsidRPr="00ED10AB">
        <w:rPr>
          <w:rFonts w:ascii="Arial" w:hAnsi="Arial" w:cs="Arial"/>
          <w:lang w:val="sr-Cyrl-RS"/>
        </w:rPr>
        <w:t xml:space="preserve"> и образложење истраживања</w:t>
      </w:r>
    </w:p>
    <w:p w14:paraId="60A81A06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Истраживачка питања</w:t>
      </w:r>
    </w:p>
    <w:p w14:paraId="2BFB30D2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Циљеви и крајње тачке истраживања</w:t>
      </w:r>
    </w:p>
    <w:p w14:paraId="5E8CBD8E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Дужина трајања студије</w:t>
      </w:r>
    </w:p>
    <w:p w14:paraId="5850E58C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Критеријуми студије за укључивање и искључивање учесника</w:t>
      </w:r>
    </w:p>
    <w:p w14:paraId="32831A74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Процене</w:t>
      </w:r>
    </w:p>
    <w:p w14:paraId="6A9AB1E0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Дозирање и начин примене лека</w:t>
      </w:r>
    </w:p>
    <w:p w14:paraId="4BA6C121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Безбедносни протоколи и ризици</w:t>
      </w:r>
    </w:p>
    <w:p w14:paraId="574BF843" w14:textId="0CA91F63" w:rsidR="00AA6812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Методе анализе</w:t>
      </w:r>
    </w:p>
    <w:p w14:paraId="4F25C16D" w14:textId="77777777" w:rsidR="00E02BBE" w:rsidRPr="00ED10AB" w:rsidRDefault="00E02BBE" w:rsidP="00E02BBE">
      <w:pPr>
        <w:spacing w:after="0"/>
        <w:rPr>
          <w:rFonts w:ascii="Arial" w:hAnsi="Arial" w:cs="Arial"/>
          <w:lang w:val="sr-Cyrl-RS"/>
        </w:rPr>
      </w:pPr>
    </w:p>
    <w:p w14:paraId="1880040D" w14:textId="34A544C4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Иако се процес одобравања разликује у свакој европској земљи, он често укључује подношење досијеа етичком комитету који затим узима у обзир следеће:</w:t>
      </w:r>
    </w:p>
    <w:p w14:paraId="022814CF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Релевантност клиничког испитивања и дизајна испитивања</w:t>
      </w:r>
    </w:p>
    <w:p w14:paraId="56B2F182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Ризици и користи од клиничког испитивања</w:t>
      </w:r>
    </w:p>
    <w:p w14:paraId="29E7FDCB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Протокол клиничког испитивања</w:t>
      </w:r>
    </w:p>
    <w:p w14:paraId="44001F00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Погодност истраживача за спровођење клиничког испитивања</w:t>
      </w:r>
    </w:p>
    <w:p w14:paraId="53B21D10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Квалитет објеката у којима ће се одвијати клиничко испитивање</w:t>
      </w:r>
    </w:p>
    <w:p w14:paraId="7311D563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Документ о писменој информисаној сагласности</w:t>
      </w:r>
    </w:p>
    <w:p w14:paraId="0E342A5C" w14:textId="6D2114BB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Осигурање од одговорности и политике плаћања и износи за пацијенте који доживе смрт </w:t>
      </w:r>
      <w:r w:rsidR="00E02BBE">
        <w:rPr>
          <w:rFonts w:ascii="Arial" w:hAnsi="Arial" w:cs="Arial"/>
          <w:lang w:val="sr-Latn-RS"/>
        </w:rPr>
        <w:t xml:space="preserve">      </w:t>
      </w:r>
      <w:r w:rsidRPr="00ED10AB">
        <w:rPr>
          <w:rFonts w:ascii="Arial" w:hAnsi="Arial" w:cs="Arial"/>
          <w:lang w:val="sr-Cyrl-RS"/>
        </w:rPr>
        <w:t>или повреду у вези са клиничким испитивањем</w:t>
      </w:r>
    </w:p>
    <w:p w14:paraId="0249B469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Планови истраживача за регрутовање пацијената за учешће у клиничком испитивању</w:t>
      </w:r>
    </w:p>
    <w:p w14:paraId="609AE155" w14:textId="53A0875B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Етички комитет се састоји од </w:t>
      </w:r>
      <w:r w:rsidR="00DB0E55">
        <w:rPr>
          <w:rFonts w:ascii="Arial" w:hAnsi="Arial" w:cs="Arial"/>
          <w:lang w:val="sr-Cyrl-RS"/>
        </w:rPr>
        <w:t>скупа</w:t>
      </w:r>
      <w:r w:rsidR="00DB0E5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људи као што су истраживачи, клиничари, </w:t>
      </w:r>
      <w:r w:rsidR="00DB0E55">
        <w:rPr>
          <w:rFonts w:ascii="Arial" w:hAnsi="Arial" w:cs="Arial"/>
          <w:lang w:val="sr-Cyrl-RS"/>
        </w:rPr>
        <w:t>правници</w:t>
      </w:r>
      <w:r w:rsidRPr="00ED10AB">
        <w:rPr>
          <w:rFonts w:ascii="Arial" w:hAnsi="Arial" w:cs="Arial"/>
          <w:lang w:val="sr-Cyrl-RS"/>
        </w:rPr>
        <w:t xml:space="preserve"> и лаици као што су пацијенти или неговатељи.</w:t>
      </w:r>
    </w:p>
    <w:p w14:paraId="30C354C5" w14:textId="4961036A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Након што је клиничко испитивање почело, </w:t>
      </w:r>
      <w:commentRangeStart w:id="1"/>
      <w:r w:rsidR="00DB0E55" w:rsidRPr="00ED10AB">
        <w:rPr>
          <w:rFonts w:ascii="Arial" w:hAnsi="Arial" w:cs="Arial"/>
          <w:lang w:val="sr-Cyrl-RS"/>
        </w:rPr>
        <w:t>коми</w:t>
      </w:r>
      <w:r w:rsidR="00DB0E55">
        <w:rPr>
          <w:rFonts w:ascii="Arial" w:hAnsi="Arial" w:cs="Arial"/>
          <w:lang w:val="sr-Cyrl-RS"/>
        </w:rPr>
        <w:t>сија</w:t>
      </w:r>
      <w:r w:rsidR="00DB0E5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за праћење података </w:t>
      </w:r>
      <w:commentRangeEnd w:id="1"/>
      <w:r w:rsidR="00DB0E55">
        <w:rPr>
          <w:rStyle w:val="CommentReference"/>
        </w:rPr>
        <w:commentReference w:id="1"/>
      </w:r>
      <w:r w:rsidRPr="00ED10AB">
        <w:rPr>
          <w:rFonts w:ascii="Arial" w:hAnsi="Arial" w:cs="Arial"/>
          <w:lang w:val="sr-Cyrl-RS"/>
        </w:rPr>
        <w:t xml:space="preserve">и безбедности често прати ризике, користи и нежељене догађаје у клиничком испитивању. Ове особе су често статистичари, стручњаци за етику, клиничари и истраживачи. </w:t>
      </w:r>
      <w:r w:rsidR="00DB0E55" w:rsidRPr="00ED10AB">
        <w:rPr>
          <w:rFonts w:ascii="Arial" w:hAnsi="Arial" w:cs="Arial"/>
          <w:lang w:val="sr-Cyrl-RS"/>
        </w:rPr>
        <w:t>Коми</w:t>
      </w:r>
      <w:r w:rsidR="00DB0E55">
        <w:rPr>
          <w:rFonts w:ascii="Arial" w:hAnsi="Arial" w:cs="Arial"/>
          <w:lang w:val="sr-Cyrl-RS"/>
        </w:rPr>
        <w:t>сија</w:t>
      </w:r>
      <w:r w:rsidR="00DB0E5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може препоручити да спонзор студије паузира или прекине клиничко испитивање у потпуности због безбедности или других разлога. Често комисија гледа:</w:t>
      </w:r>
    </w:p>
    <w:p w14:paraId="5097E0B5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Способност пацијента да се придржава захтева студије</w:t>
      </w:r>
    </w:p>
    <w:p w14:paraId="6D94631B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Повлачење пацијента из испитивања</w:t>
      </w:r>
    </w:p>
    <w:p w14:paraId="70AAFD77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Безбедност (смрт, нежељени догађаји)</w:t>
      </w:r>
    </w:p>
    <w:p w14:paraId="6ACAA568" w14:textId="29CCD43F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Ефикасност (</w:t>
      </w:r>
      <w:r w:rsidR="00DB0E55" w:rsidRPr="00ED10AB">
        <w:rPr>
          <w:rFonts w:ascii="Arial" w:hAnsi="Arial" w:cs="Arial"/>
          <w:lang w:val="sr-Cyrl-RS"/>
        </w:rPr>
        <w:t>коми</w:t>
      </w:r>
      <w:r w:rsidR="00DB0E55">
        <w:rPr>
          <w:rFonts w:ascii="Arial" w:hAnsi="Arial" w:cs="Arial"/>
          <w:lang w:val="sr-Cyrl-RS"/>
        </w:rPr>
        <w:t>сија</w:t>
      </w:r>
      <w:r w:rsidR="00DB0E5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помаже у одлучивању да ли се испитивање треба наставити ако је лек неефикасан у прелиминарној анализи података)</w:t>
      </w:r>
    </w:p>
    <w:p w14:paraId="7B386543" w14:textId="31F74D74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</w:t>
      </w:r>
      <w:r w:rsidR="00DB0E55" w:rsidRPr="00ED10AB">
        <w:rPr>
          <w:rFonts w:ascii="Arial" w:hAnsi="Arial" w:cs="Arial"/>
          <w:lang w:val="sr-Cyrl-RS"/>
        </w:rPr>
        <w:t>Регула</w:t>
      </w:r>
      <w:r w:rsidR="00DB0E55">
        <w:rPr>
          <w:rFonts w:ascii="Arial" w:hAnsi="Arial" w:cs="Arial"/>
          <w:lang w:val="sr-Cyrl-RS"/>
        </w:rPr>
        <w:t>тива</w:t>
      </w:r>
      <w:r w:rsidR="00DB0E5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лекова, уређаја и процедура у Европи</w:t>
      </w:r>
    </w:p>
    <w:p w14:paraId="3D91BD7E" w14:textId="1F053020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Када лек заврши фазе 1, 2 и 3 клиничког развоја, истраживачи подносе досије Европској агенцији за лекове за регулаторно одобрење лека или процедуре. Европска агенција за лекове (ЕМА) и Европска комисија (Е</w:t>
      </w:r>
      <w:r w:rsidR="00E02BBE">
        <w:rPr>
          <w:rFonts w:ascii="Arial" w:hAnsi="Arial" w:cs="Arial"/>
          <w:lang w:val="sr-Latn-RS"/>
        </w:rPr>
        <w:t>K</w:t>
      </w:r>
      <w:r w:rsidRPr="00ED10AB">
        <w:rPr>
          <w:rFonts w:ascii="Arial" w:hAnsi="Arial" w:cs="Arial"/>
          <w:lang w:val="sr-Cyrl-RS"/>
        </w:rPr>
        <w:t>) доносе одлуке о одобрењу лека на основу података о безбедности и ефикасности.</w:t>
      </w:r>
    </w:p>
    <w:p w14:paraId="0ACFFCA0" w14:textId="476B5B1B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Када ЕМА и Е</w:t>
      </w:r>
      <w:r w:rsidR="00E02BBE">
        <w:rPr>
          <w:rFonts w:ascii="Arial" w:hAnsi="Arial" w:cs="Arial"/>
          <w:lang w:val="sr-Latn-RS"/>
        </w:rPr>
        <w:t>K</w:t>
      </w:r>
      <w:r w:rsidRPr="00ED10AB">
        <w:rPr>
          <w:rFonts w:ascii="Arial" w:hAnsi="Arial" w:cs="Arial"/>
          <w:lang w:val="sr-Cyrl-RS"/>
        </w:rPr>
        <w:t xml:space="preserve"> одобре лек или процедуру, он мора да прође евалуацију на националном нивоу да би добио одобрење за надокнаду трошкова у одређеној </w:t>
      </w:r>
      <w:r w:rsidR="00DB0E55">
        <w:rPr>
          <w:rFonts w:ascii="Arial" w:hAnsi="Arial" w:cs="Arial"/>
          <w:lang w:val="sr-Cyrl-RS"/>
        </w:rPr>
        <w:t xml:space="preserve">ЕУ </w:t>
      </w:r>
      <w:r w:rsidRPr="00ED10AB">
        <w:rPr>
          <w:rFonts w:ascii="Arial" w:hAnsi="Arial" w:cs="Arial"/>
          <w:lang w:val="sr-Cyrl-RS"/>
        </w:rPr>
        <w:t>земљи. Ово се зове процена здравствене технологије (ХТА) и истражује следеће:</w:t>
      </w:r>
    </w:p>
    <w:p w14:paraId="4E597676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lastRenderedPageBreak/>
        <w:t>• Ефикасност лека или процедуре у поређењу са оним што је доступно у земљи</w:t>
      </w:r>
    </w:p>
    <w:p w14:paraId="592272EB" w14:textId="77777777" w:rsidR="00AA6812" w:rsidRPr="00ED10AB" w:rsidRDefault="00AA6812" w:rsidP="00E02BBE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Финансијски и економски утицај плаћања лека или процедуре</w:t>
      </w:r>
    </w:p>
    <w:p w14:paraId="199F8A59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Здравствена политика, друштвени и етички утицаји процедуре или лека на националном нивоу</w:t>
      </w:r>
    </w:p>
    <w:p w14:paraId="77EDB592" w14:textId="4FB7E44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Ово је сложен процес који резултира одлукама на националном нивоу да ли ће лек или поступак учинити доступним у одређеној земљи. Важно је запамтити да само зато што је ЕМА одобрила лек, то не значи да је доступан сваком пацијенту у Европи због одлука донетих на националном нивоу. </w:t>
      </w:r>
      <w:commentRangeStart w:id="2"/>
      <w:r w:rsidRPr="00ED10AB">
        <w:rPr>
          <w:rFonts w:ascii="Arial" w:hAnsi="Arial" w:cs="Arial"/>
          <w:lang w:val="sr-Cyrl-RS"/>
        </w:rPr>
        <w:t>Штавише, истраживачи понекад одлучују да не пласирају лек или процедуру на тржиште у одређеној земљи и да се подвргну ХТА процесу, што доводи до неједнакости широм Европе у приступу лековима.</w:t>
      </w:r>
      <w:commentRangeEnd w:id="2"/>
      <w:r w:rsidR="00DB0E55">
        <w:rPr>
          <w:rStyle w:val="CommentReference"/>
        </w:rPr>
        <w:commentReference w:id="2"/>
      </w:r>
    </w:p>
    <w:p w14:paraId="657127A6" w14:textId="77777777" w:rsidR="006D404A" w:rsidRDefault="006D404A" w:rsidP="00AA6812">
      <w:pPr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65001063" w14:textId="310D4732" w:rsidR="00AA6812" w:rsidRPr="00ED10AB" w:rsidRDefault="00AA6812" w:rsidP="00AA6812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3. Ризици клиничког испитивања</w:t>
      </w:r>
    </w:p>
    <w:p w14:paraId="60A42A0B" w14:textId="77777777" w:rsidR="00AA6812" w:rsidRPr="00ED10AB" w:rsidRDefault="00AA6812" w:rsidP="00AA6812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>Нежељена дејства</w:t>
      </w:r>
    </w:p>
    <w:p w14:paraId="14EDCECD" w14:textId="77632970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Један од главних ризика учешћа у клиничком испитивању је нежељени догађај. Нежељени догађај је развој симптома у вези са </w:t>
      </w:r>
      <w:r w:rsidR="00354220">
        <w:rPr>
          <w:rFonts w:ascii="Arial" w:hAnsi="Arial" w:cs="Arial"/>
          <w:lang w:val="sr-Cyrl-RS"/>
        </w:rPr>
        <w:t>третманом</w:t>
      </w:r>
      <w:r w:rsidRPr="00ED10AB">
        <w:rPr>
          <w:rFonts w:ascii="Arial" w:hAnsi="Arial" w:cs="Arial"/>
          <w:lang w:val="sr-Cyrl-RS"/>
        </w:rPr>
        <w:t xml:space="preserve"> или процедуром која се тестира у клиничком испитивању. Неки нежељени догађаји могу бити привремени и не захтевају лечење, или неки могу бити трајни и чак захтевати хоспитализацију или довести до смрти. Примери нежељених догађаја који се често примећују у клиничким испитивањима </w:t>
      </w:r>
      <w:r w:rsidR="00DB0E55">
        <w:rPr>
          <w:rFonts w:ascii="Arial" w:hAnsi="Arial" w:cs="Arial"/>
          <w:lang w:val="sr-Cyrl-RS"/>
        </w:rPr>
        <w:t xml:space="preserve">мултиплог </w:t>
      </w:r>
      <w:r w:rsidRPr="00ED10AB">
        <w:rPr>
          <w:rFonts w:ascii="Arial" w:hAnsi="Arial" w:cs="Arial"/>
          <w:lang w:val="sr-Cyrl-RS"/>
        </w:rPr>
        <w:t>мијелома</w:t>
      </w:r>
      <w:r w:rsidR="00DB0E55">
        <w:rPr>
          <w:rFonts w:ascii="Arial" w:hAnsi="Arial" w:cs="Arial"/>
          <w:lang w:val="sr-Cyrl-RS"/>
        </w:rPr>
        <w:t xml:space="preserve"> (ММ)</w:t>
      </w:r>
      <w:r w:rsidRPr="00ED10AB">
        <w:rPr>
          <w:rFonts w:ascii="Arial" w:hAnsi="Arial" w:cs="Arial"/>
          <w:lang w:val="sr-Cyrl-RS"/>
        </w:rPr>
        <w:t xml:space="preserve"> и амилоидозе</w:t>
      </w:r>
      <w:r w:rsidR="00DB0E55">
        <w:rPr>
          <w:rFonts w:ascii="Arial" w:hAnsi="Arial" w:cs="Arial"/>
          <w:lang w:val="sr-Cyrl-RS"/>
        </w:rPr>
        <w:t xml:space="preserve"> (АЛ)</w:t>
      </w:r>
      <w:r w:rsidRPr="00ED10AB">
        <w:rPr>
          <w:rFonts w:ascii="Arial" w:hAnsi="Arial" w:cs="Arial"/>
          <w:lang w:val="sr-Cyrl-RS"/>
        </w:rPr>
        <w:t xml:space="preserve"> су:</w:t>
      </w:r>
    </w:p>
    <w:p w14:paraId="02234A0B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Хематолошки (који се односе на крв, нпр. низак ниво белих и црвених крвних зрнаца или низак број тромбоцита)</w:t>
      </w:r>
    </w:p>
    <w:p w14:paraId="1EDC4AFC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Инфекције</w:t>
      </w:r>
    </w:p>
    <w:p w14:paraId="043567DD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Неуропатија</w:t>
      </w:r>
    </w:p>
    <w:p w14:paraId="0FDE4A40" w14:textId="1EBD4A19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Синдром ослобађања цитокина</w:t>
      </w:r>
      <w:r w:rsidR="00DB0E55">
        <w:rPr>
          <w:rFonts w:ascii="Arial" w:hAnsi="Arial" w:cs="Arial"/>
          <w:lang w:val="sr-Cyrl-RS"/>
        </w:rPr>
        <w:t xml:space="preserve"> (цитокинска олуја)</w:t>
      </w:r>
    </w:p>
    <w:p w14:paraId="5DD33F3B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Неуротоксичност</w:t>
      </w:r>
    </w:p>
    <w:p w14:paraId="0C2DAD4D" w14:textId="5ED58079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Мучнина</w:t>
      </w:r>
      <w:r w:rsidR="00DB0E55">
        <w:rPr>
          <w:rFonts w:ascii="Arial" w:hAnsi="Arial" w:cs="Arial"/>
          <w:lang w:val="sr-Cyrl-RS"/>
        </w:rPr>
        <w:t>,</w:t>
      </w:r>
      <w:r w:rsidRPr="00ED10AB">
        <w:rPr>
          <w:rFonts w:ascii="Arial" w:hAnsi="Arial" w:cs="Arial"/>
          <w:lang w:val="sr-Cyrl-RS"/>
        </w:rPr>
        <w:t xml:space="preserve"> повраћање</w:t>
      </w:r>
    </w:p>
    <w:p w14:paraId="4F5E27E8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Дијареја</w:t>
      </w:r>
    </w:p>
    <w:p w14:paraId="6A2DCD50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Бол у костима</w:t>
      </w:r>
    </w:p>
    <w:p w14:paraId="7A2A74B0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Проблеми са видом, кератопатија</w:t>
      </w:r>
    </w:p>
    <w:p w14:paraId="49CB8317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Промене на кожи</w:t>
      </w:r>
    </w:p>
    <w:p w14:paraId="1F70ECA3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Промене у укусу</w:t>
      </w:r>
    </w:p>
    <w:p w14:paraId="4A32F68A" w14:textId="77777777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Анксиозност или агресија (често повезана са употребом стероида)</w:t>
      </w:r>
    </w:p>
    <w:p w14:paraId="2028F75C" w14:textId="185F8A95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Губитак апетита</w:t>
      </w:r>
    </w:p>
    <w:p w14:paraId="5EA63520" w14:textId="4AB8FD65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Отказивање срца</w:t>
      </w:r>
    </w:p>
    <w:p w14:paraId="2950E903" w14:textId="3E7DB51D" w:rsidR="00AA6812" w:rsidRPr="00ED10AB" w:rsidRDefault="00AA6812" w:rsidP="006D404A">
      <w:pPr>
        <w:spacing w:after="0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Реакције на инфузију или алергијске реакције на </w:t>
      </w:r>
      <w:r w:rsidR="00354220">
        <w:rPr>
          <w:rFonts w:ascii="Arial" w:hAnsi="Arial" w:cs="Arial"/>
          <w:lang w:val="sr-Cyrl-RS"/>
        </w:rPr>
        <w:t>терапију</w:t>
      </w:r>
    </w:p>
    <w:p w14:paraId="2007F082" w14:textId="77777777" w:rsidR="00AA6812" w:rsidRPr="00ED10AB" w:rsidRDefault="00AA6812" w:rsidP="00AA6812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Смањење квалитета живота</w:t>
      </w:r>
    </w:p>
    <w:p w14:paraId="6BA26B96" w14:textId="58B6B1A7" w:rsidR="00AA6812" w:rsidRPr="00ED10AB" w:rsidRDefault="00AA6812" w:rsidP="00AA6812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 xml:space="preserve">Заслепљивање и </w:t>
      </w:r>
      <w:r w:rsidR="006D404A">
        <w:rPr>
          <w:rFonts w:ascii="Arial" w:hAnsi="Arial" w:cs="Arial"/>
          <w:i/>
          <w:iCs/>
          <w:lang w:val="sr-Cyrl-RS"/>
        </w:rPr>
        <w:t>случајност (</w:t>
      </w:r>
      <w:r w:rsidRPr="00ED10AB">
        <w:rPr>
          <w:rFonts w:ascii="Arial" w:hAnsi="Arial" w:cs="Arial"/>
          <w:i/>
          <w:iCs/>
          <w:lang w:val="sr-Cyrl-RS"/>
        </w:rPr>
        <w:t>рандомизација</w:t>
      </w:r>
      <w:r w:rsidR="006D404A">
        <w:rPr>
          <w:rFonts w:ascii="Arial" w:hAnsi="Arial" w:cs="Arial"/>
          <w:i/>
          <w:iCs/>
          <w:lang w:val="sr-Cyrl-RS"/>
        </w:rPr>
        <w:t>)</w:t>
      </w:r>
    </w:p>
    <w:p w14:paraId="51065AD1" w14:textId="231D83C9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У неким клиничким испитивањима, пацијенти </w:t>
      </w:r>
      <w:r w:rsidR="0012145D">
        <w:rPr>
          <w:rFonts w:ascii="Arial" w:hAnsi="Arial" w:cs="Arial"/>
          <w:lang w:val="sr-Cyrl-RS"/>
        </w:rPr>
        <w:t>не знају који тип</w:t>
      </w:r>
      <w:r w:rsidRPr="00ED10AB">
        <w:rPr>
          <w:rFonts w:ascii="Arial" w:hAnsi="Arial" w:cs="Arial"/>
          <w:lang w:val="sr-Cyrl-RS"/>
        </w:rPr>
        <w:t xml:space="preserve"> </w:t>
      </w:r>
      <w:r w:rsidR="00F80D09">
        <w:rPr>
          <w:rFonts w:ascii="Arial" w:hAnsi="Arial" w:cs="Arial"/>
          <w:lang w:val="sr-Cyrl-RS"/>
        </w:rPr>
        <w:t>терапије</w:t>
      </w:r>
      <w:r w:rsidR="0012145D">
        <w:rPr>
          <w:rFonts w:ascii="Arial" w:hAnsi="Arial" w:cs="Arial"/>
          <w:lang w:val="sr-Cyrl-RS"/>
        </w:rPr>
        <w:t xml:space="preserve"> примају</w:t>
      </w:r>
      <w:r w:rsidRPr="00ED10AB">
        <w:rPr>
          <w:rFonts w:ascii="Arial" w:hAnsi="Arial" w:cs="Arial"/>
          <w:lang w:val="sr-Cyrl-RS"/>
        </w:rPr>
        <w:t xml:space="preserve">, </w:t>
      </w:r>
      <w:r w:rsidR="00F80D09">
        <w:rPr>
          <w:rFonts w:ascii="Arial" w:hAnsi="Arial" w:cs="Arial"/>
          <w:lang w:val="sr-Cyrl-RS"/>
        </w:rPr>
        <w:t>што</w:t>
      </w:r>
      <w:r w:rsidRPr="00ED10AB">
        <w:rPr>
          <w:rFonts w:ascii="Arial" w:hAnsi="Arial" w:cs="Arial"/>
          <w:lang w:val="sr-Cyrl-RS"/>
        </w:rPr>
        <w:t xml:space="preserve"> се назива заслепљивање или једно-слепа студија. </w:t>
      </w:r>
      <w:r w:rsidR="00F80D09" w:rsidRPr="00F80D09">
        <w:rPr>
          <w:rFonts w:ascii="Arial" w:hAnsi="Arial" w:cs="Arial"/>
          <w:lang w:val="sr-Cyrl-RS"/>
        </w:rPr>
        <w:t>Међутим, п</w:t>
      </w:r>
      <w:r w:rsidRPr="00F80D09">
        <w:rPr>
          <w:rFonts w:ascii="Arial" w:hAnsi="Arial" w:cs="Arial"/>
          <w:lang w:val="sr-Cyrl-RS"/>
        </w:rPr>
        <w:t>онекад и пацијенти</w:t>
      </w:r>
      <w:r w:rsidRPr="00ED10AB">
        <w:rPr>
          <w:rFonts w:ascii="Arial" w:hAnsi="Arial" w:cs="Arial"/>
          <w:lang w:val="sr-Cyrl-RS"/>
        </w:rPr>
        <w:t xml:space="preserve"> и клиничари</w:t>
      </w:r>
      <w:r w:rsidR="00F80D09">
        <w:rPr>
          <w:rFonts w:ascii="Arial" w:hAnsi="Arial" w:cs="Arial"/>
          <w:lang w:val="sr-Latn-RS"/>
        </w:rPr>
        <w:t>,</w:t>
      </w:r>
      <w:r w:rsidRPr="00ED10AB">
        <w:rPr>
          <w:rFonts w:ascii="Arial" w:hAnsi="Arial" w:cs="Arial"/>
          <w:lang w:val="sr-Cyrl-RS"/>
        </w:rPr>
        <w:t xml:space="preserve"> који лече</w:t>
      </w:r>
      <w:r w:rsidR="00F80D09">
        <w:rPr>
          <w:rFonts w:ascii="Arial" w:hAnsi="Arial" w:cs="Arial"/>
          <w:lang w:val="sr-Latn-RS"/>
        </w:rPr>
        <w:t>,</w:t>
      </w:r>
      <w:r w:rsidRPr="00ED10AB">
        <w:rPr>
          <w:rFonts w:ascii="Arial" w:hAnsi="Arial" w:cs="Arial"/>
          <w:lang w:val="sr-Cyrl-RS"/>
        </w:rPr>
        <w:t xml:space="preserve"> нису свесни </w:t>
      </w:r>
      <w:r w:rsidR="00354220">
        <w:rPr>
          <w:rFonts w:ascii="Arial" w:hAnsi="Arial" w:cs="Arial"/>
          <w:lang w:val="sr-Cyrl-RS"/>
        </w:rPr>
        <w:t>терапије</w:t>
      </w:r>
      <w:r w:rsidRPr="00ED10AB">
        <w:rPr>
          <w:rFonts w:ascii="Arial" w:hAnsi="Arial" w:cs="Arial"/>
          <w:lang w:val="sr-Cyrl-RS"/>
        </w:rPr>
        <w:t xml:space="preserve"> </w:t>
      </w:r>
      <w:r w:rsidR="00DB0E55" w:rsidRPr="00ED10AB">
        <w:rPr>
          <w:rFonts w:ascii="Arial" w:hAnsi="Arial" w:cs="Arial"/>
          <w:lang w:val="sr-Cyrl-RS"/>
        </w:rPr>
        <w:t>кој</w:t>
      </w:r>
      <w:r w:rsidR="00DB0E55">
        <w:rPr>
          <w:rFonts w:ascii="Arial" w:hAnsi="Arial" w:cs="Arial"/>
          <w:lang w:val="sr-Cyrl-RS"/>
        </w:rPr>
        <w:t>а</w:t>
      </w:r>
      <w:r w:rsidR="00DB0E5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се даје (ово је двоструко </w:t>
      </w:r>
      <w:r w:rsidR="0012145D">
        <w:rPr>
          <w:rFonts w:ascii="Arial" w:hAnsi="Arial" w:cs="Arial"/>
          <w:lang w:val="sr-Cyrl-RS"/>
        </w:rPr>
        <w:t>слеп</w:t>
      </w:r>
      <w:r w:rsidR="0012145D" w:rsidRPr="00ED10AB">
        <w:rPr>
          <w:rFonts w:ascii="Arial" w:hAnsi="Arial" w:cs="Arial"/>
          <w:lang w:val="sr-Cyrl-RS"/>
        </w:rPr>
        <w:t xml:space="preserve">а </w:t>
      </w:r>
      <w:r w:rsidRPr="00ED10AB">
        <w:rPr>
          <w:rFonts w:ascii="Arial" w:hAnsi="Arial" w:cs="Arial"/>
          <w:lang w:val="sr-Cyrl-RS"/>
        </w:rPr>
        <w:t xml:space="preserve">студија). </w:t>
      </w:r>
      <w:r w:rsidR="0031237B">
        <w:rPr>
          <w:rFonts w:ascii="Arial" w:hAnsi="Arial" w:cs="Arial"/>
          <w:lang w:val="sr-Cyrl-RS"/>
        </w:rPr>
        <w:t>Коначно</w:t>
      </w:r>
      <w:r w:rsidR="0012145D">
        <w:rPr>
          <w:rFonts w:ascii="Arial" w:hAnsi="Arial" w:cs="Arial"/>
          <w:lang w:val="sr-Cyrl-RS"/>
        </w:rPr>
        <w:t>,</w:t>
      </w:r>
      <w:r w:rsidR="0031237B">
        <w:rPr>
          <w:rFonts w:ascii="Arial" w:hAnsi="Arial" w:cs="Arial"/>
          <w:lang w:val="sr-Cyrl-RS"/>
        </w:rPr>
        <w:t xml:space="preserve"> постоје и </w:t>
      </w:r>
      <w:r w:rsidRPr="00ED10AB">
        <w:rPr>
          <w:rFonts w:ascii="Arial" w:hAnsi="Arial" w:cs="Arial"/>
          <w:lang w:val="sr-Cyrl-RS"/>
        </w:rPr>
        <w:t>случајеви</w:t>
      </w:r>
      <w:r w:rsidR="0031237B">
        <w:rPr>
          <w:rFonts w:ascii="Arial" w:hAnsi="Arial" w:cs="Arial"/>
          <w:lang w:val="sr-Cyrl-RS"/>
        </w:rPr>
        <w:t xml:space="preserve"> да </w:t>
      </w:r>
      <w:r w:rsidRPr="00ED10AB">
        <w:rPr>
          <w:rFonts w:ascii="Arial" w:hAnsi="Arial" w:cs="Arial"/>
          <w:lang w:val="sr-Cyrl-RS"/>
        </w:rPr>
        <w:t>истраживачи, клиничари</w:t>
      </w:r>
      <w:r w:rsidR="0031237B">
        <w:rPr>
          <w:rFonts w:ascii="Arial" w:hAnsi="Arial" w:cs="Arial"/>
          <w:lang w:val="sr-Cyrl-RS"/>
        </w:rPr>
        <w:t>,</w:t>
      </w:r>
      <w:r w:rsidRPr="00ED10AB">
        <w:rPr>
          <w:rFonts w:ascii="Arial" w:hAnsi="Arial" w:cs="Arial"/>
          <w:lang w:val="sr-Cyrl-RS"/>
        </w:rPr>
        <w:t xml:space="preserve"> који лече</w:t>
      </w:r>
      <w:r w:rsidR="0031237B">
        <w:rPr>
          <w:rFonts w:ascii="Arial" w:hAnsi="Arial" w:cs="Arial"/>
          <w:lang w:val="sr-Cyrl-RS"/>
        </w:rPr>
        <w:t>, као</w:t>
      </w:r>
      <w:r w:rsidRPr="00ED10AB">
        <w:rPr>
          <w:rFonts w:ascii="Arial" w:hAnsi="Arial" w:cs="Arial"/>
          <w:lang w:val="sr-Cyrl-RS"/>
        </w:rPr>
        <w:t xml:space="preserve"> и пацијенти нису свесни </w:t>
      </w:r>
      <w:r w:rsidR="0012145D" w:rsidRPr="00ED10AB">
        <w:rPr>
          <w:rFonts w:ascii="Arial" w:hAnsi="Arial" w:cs="Arial"/>
          <w:lang w:val="sr-Cyrl-RS"/>
        </w:rPr>
        <w:t>примљен</w:t>
      </w:r>
      <w:r w:rsidR="0012145D">
        <w:rPr>
          <w:rFonts w:ascii="Arial" w:hAnsi="Arial" w:cs="Arial"/>
          <w:lang w:val="sr-Cyrl-RS"/>
        </w:rPr>
        <w:t>е</w:t>
      </w:r>
      <w:r w:rsidR="0012145D" w:rsidRPr="00ED10AB">
        <w:rPr>
          <w:rFonts w:ascii="Arial" w:hAnsi="Arial" w:cs="Arial"/>
          <w:lang w:val="sr-Cyrl-RS"/>
        </w:rPr>
        <w:t xml:space="preserve"> т</w:t>
      </w:r>
      <w:r w:rsidR="0012145D">
        <w:rPr>
          <w:rFonts w:ascii="Arial" w:hAnsi="Arial" w:cs="Arial"/>
          <w:lang w:val="sr-Cyrl-RS"/>
        </w:rPr>
        <w:t>ерапије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(троструко слепа студија).</w:t>
      </w:r>
    </w:p>
    <w:p w14:paraId="7BD6F18B" w14:textId="7EC976A1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Штавише, неки пацијенти су насумично распоређени да примају или </w:t>
      </w:r>
      <w:r w:rsidR="0012145D" w:rsidRPr="00ED10AB">
        <w:rPr>
          <w:rFonts w:ascii="Arial" w:hAnsi="Arial" w:cs="Arial"/>
          <w:lang w:val="sr-Cyrl-RS"/>
        </w:rPr>
        <w:t>истраживач</w:t>
      </w:r>
      <w:r w:rsidR="0012145D">
        <w:rPr>
          <w:rFonts w:ascii="Arial" w:hAnsi="Arial" w:cs="Arial"/>
          <w:lang w:val="sr-Cyrl-RS"/>
        </w:rPr>
        <w:t>ку</w:t>
      </w:r>
      <w:r w:rsidR="0012145D" w:rsidRPr="00ED10AB">
        <w:rPr>
          <w:rFonts w:ascii="Arial" w:hAnsi="Arial" w:cs="Arial"/>
          <w:lang w:val="sr-Cyrl-RS"/>
        </w:rPr>
        <w:t xml:space="preserve"> т</w:t>
      </w:r>
      <w:r w:rsidR="0012145D">
        <w:rPr>
          <w:rFonts w:ascii="Arial" w:hAnsi="Arial" w:cs="Arial"/>
          <w:lang w:val="sr-Cyrl-RS"/>
        </w:rPr>
        <w:t>ерапију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или плацебо (</w:t>
      </w:r>
      <w:r w:rsidR="0012145D">
        <w:rPr>
          <w:rFonts w:ascii="Arial" w:hAnsi="Arial" w:cs="Arial"/>
          <w:lang w:val="sr-Cyrl-RS"/>
        </w:rPr>
        <w:t>терапија без активних састојака</w:t>
      </w:r>
      <w:r w:rsidRPr="00ED10AB">
        <w:rPr>
          <w:rFonts w:ascii="Arial" w:hAnsi="Arial" w:cs="Arial"/>
          <w:lang w:val="sr-Cyrl-RS"/>
        </w:rPr>
        <w:t xml:space="preserve"> или </w:t>
      </w:r>
      <w:r w:rsidR="0012145D" w:rsidRPr="00ED10AB">
        <w:rPr>
          <w:rFonts w:ascii="Arial" w:hAnsi="Arial" w:cs="Arial"/>
          <w:lang w:val="sr-Cyrl-RS"/>
        </w:rPr>
        <w:t>стандардн</w:t>
      </w:r>
      <w:r w:rsidR="0012145D">
        <w:rPr>
          <w:rFonts w:ascii="Arial" w:hAnsi="Arial" w:cs="Arial"/>
          <w:lang w:val="sr-Cyrl-RS"/>
        </w:rPr>
        <w:t>а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="0012145D">
        <w:rPr>
          <w:rFonts w:ascii="Arial" w:hAnsi="Arial" w:cs="Arial"/>
          <w:lang w:val="sr-Cyrl-RS"/>
        </w:rPr>
        <w:t>терапија</w:t>
      </w:r>
      <w:r w:rsidR="0012145D" w:rsidRPr="00ED10AB">
        <w:rPr>
          <w:rFonts w:ascii="Arial" w:hAnsi="Arial" w:cs="Arial"/>
          <w:lang w:val="sr-Cyrl-RS"/>
        </w:rPr>
        <w:t xml:space="preserve"> кој</w:t>
      </w:r>
      <w:r w:rsidR="0012145D">
        <w:rPr>
          <w:rFonts w:ascii="Arial" w:hAnsi="Arial" w:cs="Arial"/>
          <w:lang w:val="sr-Cyrl-RS"/>
        </w:rPr>
        <w:t>а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је већ </w:t>
      </w:r>
      <w:r w:rsidR="0012145D" w:rsidRPr="00ED10AB">
        <w:rPr>
          <w:rFonts w:ascii="Arial" w:hAnsi="Arial" w:cs="Arial"/>
          <w:lang w:val="sr-Cyrl-RS"/>
        </w:rPr>
        <w:t>доступ</w:t>
      </w:r>
      <w:r w:rsidR="0012145D">
        <w:rPr>
          <w:rFonts w:ascii="Arial" w:hAnsi="Arial" w:cs="Arial"/>
          <w:lang w:val="sr-Cyrl-RS"/>
        </w:rPr>
        <w:t>на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на тржишту). Стога, </w:t>
      </w:r>
      <w:r w:rsidR="0012145D">
        <w:rPr>
          <w:rFonts w:ascii="Arial" w:hAnsi="Arial" w:cs="Arial"/>
          <w:lang w:val="sr-Cyrl-RS"/>
        </w:rPr>
        <w:t>укључење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у ову врсту клиничког испитивања не гарантује да ћете добити приступ истраживачком</w:t>
      </w:r>
      <w:r w:rsidR="0012145D">
        <w:rPr>
          <w:rFonts w:ascii="Arial" w:hAnsi="Arial" w:cs="Arial"/>
          <w:lang w:val="sr-Cyrl-RS"/>
        </w:rPr>
        <w:t xml:space="preserve"> тј новом</w:t>
      </w:r>
      <w:r w:rsidRPr="00ED10AB">
        <w:rPr>
          <w:rFonts w:ascii="Arial" w:hAnsi="Arial" w:cs="Arial"/>
          <w:lang w:val="sr-Cyrl-RS"/>
        </w:rPr>
        <w:t xml:space="preserve"> лечењу. </w:t>
      </w:r>
      <w:r w:rsidR="0012145D">
        <w:rPr>
          <w:rFonts w:ascii="Arial" w:hAnsi="Arial" w:cs="Arial"/>
          <w:lang w:val="sr-Cyrl-RS"/>
        </w:rPr>
        <w:t>Било би добро да</w:t>
      </w:r>
      <w:r w:rsidRPr="00ED10AB">
        <w:rPr>
          <w:rFonts w:ascii="Arial" w:hAnsi="Arial" w:cs="Arial"/>
          <w:lang w:val="sr-Cyrl-RS"/>
        </w:rPr>
        <w:t xml:space="preserve"> разумете дизајн </w:t>
      </w:r>
      <w:r w:rsidR="006D404A">
        <w:rPr>
          <w:rFonts w:ascii="Arial" w:hAnsi="Arial" w:cs="Arial"/>
          <w:lang w:val="sr-Cyrl-RS"/>
        </w:rPr>
        <w:t>самог испитивања</w:t>
      </w:r>
      <w:r w:rsidRPr="00ED10AB">
        <w:rPr>
          <w:rFonts w:ascii="Arial" w:hAnsi="Arial" w:cs="Arial"/>
          <w:lang w:val="sr-Cyrl-RS"/>
        </w:rPr>
        <w:t xml:space="preserve"> пре него што одлучите да учествујете. Употреба плацеба или компаратора стандардне неге </w:t>
      </w:r>
      <w:r w:rsidRPr="00ED10AB">
        <w:rPr>
          <w:rFonts w:ascii="Arial" w:hAnsi="Arial" w:cs="Arial"/>
          <w:lang w:val="sr-Cyrl-RS"/>
        </w:rPr>
        <w:lastRenderedPageBreak/>
        <w:t xml:space="preserve">је важна за коришћење у истраживачким </w:t>
      </w:r>
      <w:r w:rsidR="0012145D">
        <w:rPr>
          <w:rFonts w:ascii="Arial" w:hAnsi="Arial" w:cs="Arial"/>
          <w:lang w:val="sr-Cyrl-RS"/>
        </w:rPr>
        <w:t>студијама</w:t>
      </w:r>
      <w:r w:rsidR="0012145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јер помаже истраживачима да схвате како се нови лек упоређује у безбедности и ефикасности са оним што је већ доступно пацијентима.</w:t>
      </w:r>
    </w:p>
    <w:p w14:paraId="7FFD57BB" w14:textId="6AA66BE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Нека клиничка испитивања имају више делова или група (познатих као „руке“), чији пацијенти могу бити део и примати или лек за лечење или плацебо. </w:t>
      </w:r>
      <w:r w:rsidR="0031237B">
        <w:rPr>
          <w:rFonts w:ascii="Arial" w:hAnsi="Arial" w:cs="Arial"/>
          <w:lang w:val="sr-Cyrl-RS"/>
        </w:rPr>
        <w:t>Случајност</w:t>
      </w:r>
      <w:r w:rsidRPr="00ED10AB">
        <w:rPr>
          <w:rFonts w:ascii="Arial" w:hAnsi="Arial" w:cs="Arial"/>
          <w:lang w:val="sr-Cyrl-RS"/>
        </w:rPr>
        <w:t xml:space="preserve"> и заслепљивање се могу десити на почетку или током клиничког испитивања, у зависности од дизајна испитивања и којој руци је пацијент додељен.</w:t>
      </w:r>
    </w:p>
    <w:p w14:paraId="351B930D" w14:textId="36AE5D0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Заслепљивање и </w:t>
      </w:r>
      <w:r w:rsidR="0031237B">
        <w:rPr>
          <w:rFonts w:ascii="Arial" w:hAnsi="Arial" w:cs="Arial"/>
          <w:lang w:val="sr-Cyrl-RS"/>
        </w:rPr>
        <w:t>Случајност</w:t>
      </w:r>
      <w:r w:rsidRPr="00ED10AB">
        <w:rPr>
          <w:rFonts w:ascii="Arial" w:hAnsi="Arial" w:cs="Arial"/>
          <w:lang w:val="sr-Cyrl-RS"/>
        </w:rPr>
        <w:t xml:space="preserve"> се користе у истраживању како би се смањио потенцијални увођење ненамерне пристрасности (од истраживача или учесника) и да би се стога побољшала валидност резултата.</w:t>
      </w:r>
    </w:p>
    <w:p w14:paraId="7DE525C5" w14:textId="77777777" w:rsidR="00AA6812" w:rsidRPr="00ED10AB" w:rsidRDefault="00AA6812" w:rsidP="00AA6812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>Доза и начин примене</w:t>
      </w:r>
    </w:p>
    <w:p w14:paraId="5AE704C7" w14:textId="49B30073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Доза је одређена количина и начин на који се лек даје пацијенту. Клиничка испитивања истражују лекове у различитим облицима као што су интравенски, субкутани</w:t>
      </w:r>
      <w:r w:rsidR="00C33575">
        <w:rPr>
          <w:rFonts w:ascii="Arial" w:hAnsi="Arial" w:cs="Arial"/>
          <w:lang w:val="sr-Cyrl-RS"/>
        </w:rPr>
        <w:t xml:space="preserve">, </w:t>
      </w:r>
      <w:r w:rsidRPr="00ED10AB">
        <w:rPr>
          <w:rFonts w:ascii="Arial" w:hAnsi="Arial" w:cs="Arial"/>
          <w:lang w:val="sr-Cyrl-RS"/>
        </w:rPr>
        <w:t>орални</w:t>
      </w:r>
      <w:r w:rsidR="00C33575">
        <w:rPr>
          <w:rFonts w:ascii="Arial" w:hAnsi="Arial" w:cs="Arial"/>
          <w:lang w:val="sr-Cyrl-RS"/>
        </w:rPr>
        <w:t>..</w:t>
      </w:r>
      <w:r w:rsidRPr="00ED10AB">
        <w:rPr>
          <w:rFonts w:ascii="Arial" w:hAnsi="Arial" w:cs="Arial"/>
          <w:lang w:val="sr-Cyrl-RS"/>
        </w:rPr>
        <w:t xml:space="preserve">. Често у раним фазама клиничког испитивања, лекови се дају у малим дозама које се прогресивно повећавају да би се измерила њихова безбедност, ефикасност и толеранција (повећано дозирање). Важно је знати да ако сте </w:t>
      </w:r>
      <w:r w:rsidR="00C33575">
        <w:rPr>
          <w:rFonts w:ascii="Arial" w:hAnsi="Arial" w:cs="Arial"/>
          <w:lang w:val="sr-Cyrl-RS"/>
        </w:rPr>
        <w:t>укључени</w:t>
      </w:r>
      <w:r w:rsidR="00C33575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у клиничко испитивање у раној фази, потенцијално вам могу бити додељене ниже дозе лека за лечење који се још не сматрају ефикасним и који се користе за процену подношљивости.</w:t>
      </w:r>
    </w:p>
    <w:p w14:paraId="6BAF3D34" w14:textId="17F9ED12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Новији лекови за мијелом имају различите методе примене, као што је терапија </w:t>
      </w:r>
      <w:r w:rsidR="00254E79" w:rsidRPr="00ED10AB">
        <w:rPr>
          <w:rFonts w:ascii="Arial" w:hAnsi="Arial" w:cs="Arial"/>
          <w:lang w:val="sr-Cyrl-RS"/>
        </w:rPr>
        <w:t>химерни</w:t>
      </w:r>
      <w:r w:rsidR="00254E79">
        <w:rPr>
          <w:rFonts w:ascii="Arial" w:hAnsi="Arial" w:cs="Arial"/>
          <w:lang w:val="sr-Cyrl-RS"/>
        </w:rPr>
        <w:t>м</w:t>
      </w:r>
      <w:r w:rsidR="00254E79" w:rsidRPr="00ED10AB">
        <w:rPr>
          <w:rFonts w:ascii="Arial" w:hAnsi="Arial" w:cs="Arial"/>
          <w:lang w:val="sr-Cyrl-RS"/>
        </w:rPr>
        <w:t xml:space="preserve"> антигенски</w:t>
      </w:r>
      <w:r w:rsidR="00254E79">
        <w:rPr>
          <w:rFonts w:ascii="Arial" w:hAnsi="Arial" w:cs="Arial"/>
          <w:lang w:val="sr-Cyrl-RS"/>
        </w:rPr>
        <w:t>м</w:t>
      </w:r>
      <w:r w:rsidR="00254E79" w:rsidRPr="00ED10AB">
        <w:rPr>
          <w:rFonts w:ascii="Arial" w:hAnsi="Arial" w:cs="Arial"/>
          <w:lang w:val="sr-Cyrl-RS"/>
        </w:rPr>
        <w:t xml:space="preserve"> рецептор</w:t>
      </w:r>
      <w:r w:rsidR="00254E79">
        <w:rPr>
          <w:rFonts w:ascii="Arial" w:hAnsi="Arial" w:cs="Arial"/>
          <w:lang w:val="sr-Cyrl-RS"/>
        </w:rPr>
        <w:t>има (</w:t>
      </w:r>
      <w:r w:rsidRPr="00ED10AB">
        <w:rPr>
          <w:rFonts w:ascii="Arial" w:hAnsi="Arial" w:cs="Arial"/>
          <w:lang w:val="sr-Cyrl-RS"/>
        </w:rPr>
        <w:t xml:space="preserve"> ЦАР-Т), што захтева узимање крвних ћелија пацијента, њихово прилагођавање и затим реинфузију интравенозно.</w:t>
      </w:r>
    </w:p>
    <w:p w14:paraId="5CBD4B56" w14:textId="6A089B1C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Често се лекови за мијелом дају у циклусима, што значи да примате терапију или комбинацију лекова, често почетком месеца, а затимсе даје неко време за одмор. Ово време омогућава вашем телу да се опорави и обично се дешава током неколико недеља. На пример, неки пацијенти ће добити </w:t>
      </w:r>
      <w:r w:rsidR="00354220">
        <w:rPr>
          <w:rFonts w:ascii="Arial" w:hAnsi="Arial" w:cs="Arial"/>
          <w:lang w:val="sr-Cyrl-RS"/>
        </w:rPr>
        <w:t>терапију</w:t>
      </w:r>
      <w:r w:rsidRPr="00ED10AB">
        <w:rPr>
          <w:rFonts w:ascii="Arial" w:hAnsi="Arial" w:cs="Arial"/>
          <w:lang w:val="sr-Cyrl-RS"/>
        </w:rPr>
        <w:t xml:space="preserve"> почетком месеца, а затим 21 или 28 дана касније</w:t>
      </w:r>
      <w:r w:rsidR="00C33575">
        <w:rPr>
          <w:rFonts w:ascii="Arial" w:hAnsi="Arial" w:cs="Arial"/>
          <w:lang w:val="sr-Cyrl-RS"/>
        </w:rPr>
        <w:t xml:space="preserve"> ће добити нови циклус терапије</w:t>
      </w:r>
      <w:r w:rsidRPr="00ED10AB">
        <w:rPr>
          <w:rFonts w:ascii="Arial" w:hAnsi="Arial" w:cs="Arial"/>
          <w:lang w:val="sr-Cyrl-RS"/>
        </w:rPr>
        <w:t>.</w:t>
      </w:r>
    </w:p>
    <w:p w14:paraId="3256DFD2" w14:textId="77777777" w:rsidR="00AA6812" w:rsidRPr="00ED10AB" w:rsidRDefault="00AA6812" w:rsidP="00AA6812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4. Фазе клиничког испитивања</w:t>
      </w:r>
    </w:p>
    <w:p w14:paraId="7B363222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Нови лек, уређај или процедура се тестирају у неколико фаза на постепен начин. Истраживачи морају да добију регулаторно одобрење на основу података о ефикасности и безбедности да би напредовали кроз сваку фазу клиничког испитивања пре него што могу да траже одобрење од Европске агенције за лекове (ЕМА).</w:t>
      </w:r>
    </w:p>
    <w:p w14:paraId="692E45A0" w14:textId="21AE03B0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</w:t>
      </w:r>
      <w:r w:rsidRPr="006D404A">
        <w:rPr>
          <w:rFonts w:ascii="Arial" w:hAnsi="Arial" w:cs="Arial"/>
          <w:i/>
          <w:iCs/>
          <w:lang w:val="sr-Cyrl-RS"/>
        </w:rPr>
        <w:t xml:space="preserve"> Фаза 0</w:t>
      </w:r>
      <w:r w:rsidRPr="00ED10AB">
        <w:rPr>
          <w:rFonts w:ascii="Arial" w:hAnsi="Arial" w:cs="Arial"/>
          <w:lang w:val="sr-Cyrl-RS"/>
        </w:rPr>
        <w:t xml:space="preserve"> (пре</w:t>
      </w:r>
      <w:r w:rsidR="0031237B">
        <w:rPr>
          <w:rFonts w:ascii="Arial" w:hAnsi="Arial" w:cs="Arial"/>
          <w:lang w:val="sr-Cyrl-RS"/>
        </w:rPr>
        <w:t>т</w:t>
      </w:r>
      <w:r w:rsidRPr="00ED10AB">
        <w:rPr>
          <w:rFonts w:ascii="Arial" w:hAnsi="Arial" w:cs="Arial"/>
          <w:lang w:val="sr-Cyrl-RS"/>
        </w:rPr>
        <w:t>клиничка) или рана фаза 1: ова фаза развоја укључује тестирање лека, уређаја или процедуре у лабораторијским условима на животињама</w:t>
      </w:r>
    </w:p>
    <w:p w14:paraId="2F31EDF5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</w:t>
      </w:r>
      <w:r w:rsidRPr="006D404A">
        <w:rPr>
          <w:rFonts w:ascii="Arial" w:hAnsi="Arial" w:cs="Arial"/>
          <w:i/>
          <w:iCs/>
          <w:lang w:val="sr-Cyrl-RS"/>
        </w:rPr>
        <w:t>Фаза 1</w:t>
      </w:r>
      <w:r w:rsidRPr="00ED10AB">
        <w:rPr>
          <w:rFonts w:ascii="Arial" w:hAnsi="Arial" w:cs="Arial"/>
          <w:lang w:val="sr-Cyrl-RS"/>
        </w:rPr>
        <w:t>: ова фаза развоја укључује тестирање лека, уређаја или процедуре у малој (20 до 80) групе људи по први пут, често да би се проценила одговарајућа доза, безбедност и ефикасност</w:t>
      </w:r>
    </w:p>
    <w:p w14:paraId="298299E3" w14:textId="67337DA0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</w:t>
      </w:r>
      <w:r w:rsidRPr="006D404A">
        <w:rPr>
          <w:rFonts w:ascii="Arial" w:hAnsi="Arial" w:cs="Arial"/>
          <w:i/>
          <w:iCs/>
          <w:lang w:val="sr-Cyrl-RS"/>
        </w:rPr>
        <w:t xml:space="preserve"> Фаза 2</w:t>
      </w:r>
      <w:r w:rsidRPr="00ED10AB">
        <w:rPr>
          <w:rFonts w:ascii="Arial" w:hAnsi="Arial" w:cs="Arial"/>
          <w:lang w:val="sr-Cyrl-RS"/>
        </w:rPr>
        <w:t xml:space="preserve">: ова фаза развоја често траје неколико година и укључује тестирање лека, уређаја или процедуре на </w:t>
      </w:r>
      <w:r w:rsidR="005D0FEA">
        <w:rPr>
          <w:rFonts w:ascii="Arial" w:hAnsi="Arial" w:cs="Arial"/>
          <w:lang w:val="sr-Cyrl-RS"/>
        </w:rPr>
        <w:t>већем броју</w:t>
      </w:r>
      <w:r w:rsidR="005D0FEA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људи (100 до 300) како би се даље проценила ефикасност и безбедност</w:t>
      </w:r>
    </w:p>
    <w:p w14:paraId="125650B1" w14:textId="6087777F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</w:t>
      </w:r>
      <w:r w:rsidRPr="006D404A">
        <w:rPr>
          <w:rFonts w:ascii="Arial" w:hAnsi="Arial" w:cs="Arial"/>
          <w:i/>
          <w:iCs/>
          <w:lang w:val="sr-Cyrl-RS"/>
        </w:rPr>
        <w:t>Фаза 3</w:t>
      </w:r>
      <w:r w:rsidRPr="00ED10AB">
        <w:rPr>
          <w:rFonts w:ascii="Arial" w:hAnsi="Arial" w:cs="Arial"/>
          <w:lang w:val="sr-Cyrl-RS"/>
        </w:rPr>
        <w:t xml:space="preserve">: ова фаза развоја често траје неколико година и укључује тестирање лека, уређаја или процедуре на великој групи пацијената (300 до 3.000) и често тестира лек у комбинацији са другим третманима или у поређењу са третманима који су већ доступни на </w:t>
      </w:r>
      <w:r w:rsidR="0031237B">
        <w:rPr>
          <w:rFonts w:ascii="Arial" w:hAnsi="Arial" w:cs="Arial"/>
          <w:lang w:val="sr-Cyrl-RS"/>
        </w:rPr>
        <w:t>тржишту</w:t>
      </w:r>
      <w:r w:rsidRPr="00ED10AB">
        <w:rPr>
          <w:rFonts w:ascii="Arial" w:hAnsi="Arial" w:cs="Arial"/>
          <w:lang w:val="sr-Cyrl-RS"/>
        </w:rPr>
        <w:t>. Примарни циљ ове фазе је да се добије довољно доказа о безбедности и ефикасности за добијање одобрења од регулаторних органа</w:t>
      </w:r>
    </w:p>
    <w:p w14:paraId="146244C2" w14:textId="40A852B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lastRenderedPageBreak/>
        <w:t xml:space="preserve">• </w:t>
      </w:r>
      <w:r w:rsidRPr="006D404A">
        <w:rPr>
          <w:rFonts w:ascii="Arial" w:hAnsi="Arial" w:cs="Arial"/>
          <w:i/>
          <w:iCs/>
          <w:lang w:val="sr-Cyrl-RS"/>
        </w:rPr>
        <w:t xml:space="preserve">Фаза 4 </w:t>
      </w:r>
      <w:r w:rsidRPr="00ED10AB">
        <w:rPr>
          <w:rFonts w:ascii="Arial" w:hAnsi="Arial" w:cs="Arial"/>
          <w:lang w:val="sr-Cyrl-RS"/>
        </w:rPr>
        <w:t xml:space="preserve">(постмаркетиншко одобрење): ова фаза клиничког испитивања наступа након што </w:t>
      </w:r>
      <w:r w:rsidR="00C515FC">
        <w:rPr>
          <w:rFonts w:ascii="Arial" w:hAnsi="Arial" w:cs="Arial"/>
          <w:lang w:val="sr-Cyrl-RS"/>
        </w:rPr>
        <w:t xml:space="preserve">су </w:t>
      </w:r>
      <w:r w:rsidRPr="00ED10AB">
        <w:rPr>
          <w:rFonts w:ascii="Arial" w:hAnsi="Arial" w:cs="Arial"/>
          <w:lang w:val="sr-Cyrl-RS"/>
        </w:rPr>
        <w:t xml:space="preserve">лек, уређај или процедура </w:t>
      </w:r>
      <w:r w:rsidR="005D0FEA">
        <w:rPr>
          <w:rFonts w:ascii="Arial" w:hAnsi="Arial" w:cs="Arial"/>
          <w:lang w:val="sr-Cyrl-RS"/>
        </w:rPr>
        <w:t>доступ</w:t>
      </w:r>
      <w:r w:rsidR="00C515FC">
        <w:rPr>
          <w:rFonts w:ascii="Arial" w:hAnsi="Arial" w:cs="Arial"/>
          <w:lang w:val="sr-Cyrl-RS"/>
        </w:rPr>
        <w:t>ни</w:t>
      </w:r>
      <w:r w:rsidR="005D0FEA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на тржишту општој популацији. Током ове фазе, произвођачи лекова настављају да прате ефикасност и безбедност лека, уређаја или процедуре у општој популацији</w:t>
      </w:r>
    </w:p>
    <w:p w14:paraId="18F491A2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Понекад истраживач може дизајнирати клиничко испитивање које комбинује више фаза или има више делова. Ове студије се често означавају као фаза 1а, фаза 1б, фаза 2а, фаза 2б или фаза 1/2 клиничких испитивања</w:t>
      </w:r>
    </w:p>
    <w:p w14:paraId="7983AE71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Клиничко испитивање фазе 1а често процењује безбедност и подношљивост лека у једној дози у малој групи пацијената</w:t>
      </w:r>
    </w:p>
    <w:p w14:paraId="4BC826E7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Клиничко испитивање фазе 1б често процењује безбедност и подношљивост лека у више доза у малој групи пацијената</w:t>
      </w:r>
    </w:p>
    <w:p w14:paraId="58893D84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Клиничко испитивање фазе 2а фокусира се на ефикасност лека у циљној дози</w:t>
      </w:r>
    </w:p>
    <w:p w14:paraId="2409C360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Клиничко испитивање фазе 2б фокусира се на безбедност лека у циљној дози</w:t>
      </w:r>
    </w:p>
    <w:p w14:paraId="25990C39" w14:textId="7777777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Студија фазе 1/2 комбинује фазе 1 и 2 истраживања</w:t>
      </w:r>
    </w:p>
    <w:p w14:paraId="1E461C9E" w14:textId="3957D6A7" w:rsidR="00AA6812" w:rsidRPr="00ED10AB" w:rsidRDefault="00AA6812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Студија фазе 2/3 комбинује фазе 2 и 3 истраживања</w:t>
      </w:r>
    </w:p>
    <w:p w14:paraId="79D28614" w14:textId="1C6E9D10" w:rsidR="00F031D4" w:rsidRPr="00ED10AB" w:rsidRDefault="00F031D4" w:rsidP="00AA6812">
      <w:pPr>
        <w:rPr>
          <w:rFonts w:ascii="Arial" w:hAnsi="Arial" w:cs="Arial"/>
          <w:lang w:val="sr-Cyrl-RS"/>
        </w:rPr>
      </w:pPr>
    </w:p>
    <w:p w14:paraId="4D17C209" w14:textId="147A1857" w:rsidR="00F031D4" w:rsidRPr="00ED10AB" w:rsidRDefault="00F031D4" w:rsidP="00F031D4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 xml:space="preserve">5. Како се </w:t>
      </w:r>
      <w:r w:rsidR="00C515FC">
        <w:rPr>
          <w:rFonts w:ascii="Arial" w:hAnsi="Arial" w:cs="Arial"/>
          <w:b/>
          <w:bCs/>
          <w:sz w:val="24"/>
          <w:szCs w:val="24"/>
          <w:lang w:val="sr-Cyrl-RS"/>
        </w:rPr>
        <w:t>укључити</w:t>
      </w:r>
      <w:r w:rsidR="00C515FC" w:rsidRPr="00ED10AB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у клиничко испитивање?</w:t>
      </w:r>
    </w:p>
    <w:p w14:paraId="732FB1DA" w14:textId="1D4790C8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Прво, морате да разговарате са лекаром који </w:t>
      </w:r>
      <w:r w:rsidR="00C515FC">
        <w:rPr>
          <w:rFonts w:ascii="Arial" w:hAnsi="Arial" w:cs="Arial"/>
          <w:lang w:val="sr-Cyrl-RS"/>
        </w:rPr>
        <w:t xml:space="preserve">вас </w:t>
      </w:r>
      <w:r w:rsidRPr="00ED10AB">
        <w:rPr>
          <w:rFonts w:ascii="Arial" w:hAnsi="Arial" w:cs="Arial"/>
          <w:lang w:val="sr-Cyrl-RS"/>
        </w:rPr>
        <w:t xml:space="preserve">лечи. Он има најдетаљније информације о вашем стању и </w:t>
      </w:r>
      <w:r w:rsidR="00C515FC" w:rsidRPr="00ED10AB">
        <w:rPr>
          <w:rFonts w:ascii="Arial" w:hAnsi="Arial" w:cs="Arial"/>
          <w:lang w:val="sr-Cyrl-RS"/>
        </w:rPr>
        <w:t>мо</w:t>
      </w:r>
      <w:r w:rsidR="00C515FC">
        <w:rPr>
          <w:rFonts w:ascii="Arial" w:hAnsi="Arial" w:cs="Arial"/>
          <w:lang w:val="sr-Cyrl-RS"/>
        </w:rPr>
        <w:t>же</w:t>
      </w:r>
      <w:r w:rsidR="00C515FC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вам помоћи </w:t>
      </w:r>
      <w:r w:rsidR="00C515FC">
        <w:rPr>
          <w:rFonts w:ascii="Arial" w:hAnsi="Arial" w:cs="Arial"/>
          <w:lang w:val="sr-Cyrl-RS"/>
        </w:rPr>
        <w:t>у следећим корацима.</w:t>
      </w:r>
    </w:p>
    <w:p w14:paraId="07C6DD47" w14:textId="77777777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Нека клиничка испитивања бирају само учеснике из одређене групе пацијената и за те особе се обично одлучује унапред. Ове студије стога нису доступне свима, упркос подобности. Ова клиничка испитивања су позната као студије „уписа по позиву“.</w:t>
      </w:r>
    </w:p>
    <w:p w14:paraId="5A8C2296" w14:textId="38EFE227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Регрутовање се дефинише као метод који се користи за проналажење пацијената за учешће у клиничком испитивању. Регрутовање пацијената је често сложен процес који се одвија преко претходно развијених мрежа заједнице (болнице, лекари, организације пацијената, регистри пацијената, регистри клиничких испитивања, апотеке </w:t>
      </w:r>
      <w:commentRangeStart w:id="3"/>
      <w:r w:rsidRPr="00ED10AB">
        <w:rPr>
          <w:rFonts w:ascii="Arial" w:hAnsi="Arial" w:cs="Arial"/>
          <w:lang w:val="sr-Cyrl-RS"/>
        </w:rPr>
        <w:t>и агенције за запошљавање</w:t>
      </w:r>
      <w:commentRangeEnd w:id="3"/>
      <w:r w:rsidR="00C515FC">
        <w:rPr>
          <w:rStyle w:val="CommentReference"/>
        </w:rPr>
        <w:commentReference w:id="3"/>
      </w:r>
      <w:r w:rsidRPr="00ED10AB">
        <w:rPr>
          <w:rFonts w:ascii="Arial" w:hAnsi="Arial" w:cs="Arial"/>
          <w:lang w:val="sr-Cyrl-RS"/>
        </w:rPr>
        <w:t xml:space="preserve">), оглашавање и друге методе. Спонзори клиничких испитивања се често удружују са великим болницама како би подржали регрутовање пацијената. </w:t>
      </w:r>
      <w:r w:rsidR="00C515FC">
        <w:rPr>
          <w:rFonts w:ascii="Arial" w:hAnsi="Arial" w:cs="Arial"/>
          <w:lang w:val="sr-Cyrl-RS"/>
        </w:rPr>
        <w:t xml:space="preserve">Ово отежава </w:t>
      </w:r>
      <w:r w:rsidRPr="00ED10AB">
        <w:rPr>
          <w:rFonts w:ascii="Arial" w:hAnsi="Arial" w:cs="Arial"/>
          <w:lang w:val="sr-Cyrl-RS"/>
        </w:rPr>
        <w:t xml:space="preserve">приступ клиничким испитивањима </w:t>
      </w:r>
      <w:r w:rsidR="00C515FC">
        <w:rPr>
          <w:rFonts w:ascii="Arial" w:hAnsi="Arial" w:cs="Arial"/>
          <w:lang w:val="sr-Cyrl-RS"/>
        </w:rPr>
        <w:t>пацијентима</w:t>
      </w:r>
      <w:r w:rsidRPr="00ED10AB">
        <w:rPr>
          <w:rFonts w:ascii="Arial" w:hAnsi="Arial" w:cs="Arial"/>
          <w:lang w:val="sr-Cyrl-RS"/>
        </w:rPr>
        <w:t xml:space="preserve"> који не живе близу </w:t>
      </w:r>
      <w:r w:rsidR="00C515FC">
        <w:rPr>
          <w:rFonts w:ascii="Arial" w:hAnsi="Arial" w:cs="Arial"/>
          <w:lang w:val="sr-Cyrl-RS"/>
        </w:rPr>
        <w:t>великих здравствених центара или у земљама у којима се ови центри налазе</w:t>
      </w:r>
      <w:r w:rsidRPr="00ED10AB">
        <w:rPr>
          <w:rFonts w:ascii="Arial" w:hAnsi="Arial" w:cs="Arial"/>
          <w:lang w:val="sr-Cyrl-RS"/>
        </w:rPr>
        <w:t>.</w:t>
      </w:r>
    </w:p>
    <w:p w14:paraId="337E4062" w14:textId="40874A5E" w:rsidR="00F031D4" w:rsidRPr="00ED10AB" w:rsidRDefault="00F031D4" w:rsidP="00F031D4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6. Логистика</w:t>
      </w:r>
    </w:p>
    <w:p w14:paraId="09CEFAB8" w14:textId="1FF282E1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Пре него што се </w:t>
      </w:r>
      <w:r w:rsidR="00C515FC" w:rsidRPr="00ED10AB">
        <w:rPr>
          <w:rFonts w:ascii="Arial" w:hAnsi="Arial" w:cs="Arial"/>
          <w:lang w:val="sr-Cyrl-RS"/>
        </w:rPr>
        <w:t>у</w:t>
      </w:r>
      <w:r w:rsidR="00C515FC">
        <w:rPr>
          <w:rFonts w:ascii="Arial" w:hAnsi="Arial" w:cs="Arial"/>
          <w:lang w:val="sr-Cyrl-RS"/>
        </w:rPr>
        <w:t>кључите</w:t>
      </w:r>
      <w:r w:rsidR="00C515FC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у клиничко испитивање, прво морате да разговарате</w:t>
      </w:r>
      <w:r w:rsidR="00C515FC">
        <w:rPr>
          <w:rFonts w:ascii="Arial" w:hAnsi="Arial" w:cs="Arial"/>
          <w:lang w:val="sr-Cyrl-RS"/>
        </w:rPr>
        <w:t xml:space="preserve"> са лекаром</w:t>
      </w:r>
      <w:r w:rsidRPr="00ED10AB">
        <w:rPr>
          <w:rFonts w:ascii="Arial" w:hAnsi="Arial" w:cs="Arial"/>
          <w:lang w:val="sr-Cyrl-RS"/>
        </w:rPr>
        <w:t xml:space="preserve"> о својој подобности </w:t>
      </w:r>
    </w:p>
    <w:p w14:paraId="64751A7E" w14:textId="7FB9B82B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Затим ћете проћи кроз процес скрининга који често укључује консултације са </w:t>
      </w:r>
      <w:r w:rsidR="00C515FC">
        <w:rPr>
          <w:rFonts w:ascii="Arial" w:hAnsi="Arial" w:cs="Arial"/>
          <w:lang w:val="sr-Cyrl-RS"/>
        </w:rPr>
        <w:t>студијским доктором</w:t>
      </w:r>
      <w:r w:rsidRPr="00ED10AB">
        <w:rPr>
          <w:rFonts w:ascii="Arial" w:hAnsi="Arial" w:cs="Arial"/>
          <w:lang w:val="sr-Cyrl-RS"/>
        </w:rPr>
        <w:t>, лабораторијск</w:t>
      </w:r>
      <w:r w:rsidR="00C515FC">
        <w:rPr>
          <w:rFonts w:ascii="Arial" w:hAnsi="Arial" w:cs="Arial"/>
          <w:lang w:val="sr-Cyrl-RS"/>
        </w:rPr>
        <w:t>у дијагностику</w:t>
      </w:r>
      <w:r w:rsidRPr="00ED10AB">
        <w:rPr>
          <w:rFonts w:ascii="Arial" w:hAnsi="Arial" w:cs="Arial"/>
          <w:lang w:val="sr-Cyrl-RS"/>
        </w:rPr>
        <w:t>, снимање и потенцијално биопсију коштане сржи</w:t>
      </w:r>
    </w:p>
    <w:p w14:paraId="7B862FB5" w14:textId="4A6463D6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</w:t>
      </w:r>
      <w:r w:rsidR="00C515FC">
        <w:rPr>
          <w:rFonts w:ascii="Arial" w:hAnsi="Arial" w:cs="Arial"/>
          <w:lang w:val="sr-Cyrl-RS"/>
        </w:rPr>
        <w:t>Ако</w:t>
      </w:r>
      <w:r w:rsidRPr="00ED10AB">
        <w:rPr>
          <w:rFonts w:ascii="Arial" w:hAnsi="Arial" w:cs="Arial"/>
          <w:lang w:val="sr-Cyrl-RS"/>
        </w:rPr>
        <w:t xml:space="preserve"> испуњавате услове, добићете информације о дизајну студије и од вас ће се тражити да </w:t>
      </w:r>
      <w:r w:rsidR="00C515FC">
        <w:rPr>
          <w:rFonts w:ascii="Arial" w:hAnsi="Arial" w:cs="Arial"/>
          <w:lang w:val="sr-Cyrl-RS"/>
        </w:rPr>
        <w:t xml:space="preserve">потпишете </w:t>
      </w:r>
      <w:r w:rsidRPr="00ED10AB">
        <w:rPr>
          <w:rFonts w:ascii="Arial" w:hAnsi="Arial" w:cs="Arial"/>
          <w:lang w:val="sr-Cyrl-RS"/>
        </w:rPr>
        <w:t xml:space="preserve"> документ о информисаној сагласности у писаној форми</w:t>
      </w:r>
      <w:r w:rsidR="009C74EA">
        <w:rPr>
          <w:rFonts w:ascii="Arial" w:hAnsi="Arial" w:cs="Arial"/>
          <w:lang w:val="sr-Cyrl-RS"/>
        </w:rPr>
        <w:t xml:space="preserve"> „информисани пристанак“</w:t>
      </w:r>
      <w:r w:rsidRPr="00ED10AB">
        <w:rPr>
          <w:rFonts w:ascii="Arial" w:hAnsi="Arial" w:cs="Arial"/>
          <w:lang w:val="sr-Cyrl-RS"/>
        </w:rPr>
        <w:t xml:space="preserve">. Овај документ вам пружа свеобухватну листу ризика, користи и захтева за учешће у клиничком испитивању. Пре него што </w:t>
      </w:r>
      <w:r w:rsidR="00D01607" w:rsidRPr="00ED10AB">
        <w:rPr>
          <w:rFonts w:ascii="Arial" w:hAnsi="Arial" w:cs="Arial"/>
          <w:lang w:val="sr-Cyrl-RS"/>
        </w:rPr>
        <w:t>пристанете</w:t>
      </w:r>
      <w:r w:rsidR="00D01607">
        <w:rPr>
          <w:rFonts w:ascii="Arial" w:hAnsi="Arial" w:cs="Arial"/>
          <w:lang w:val="sr-Cyrl-RS"/>
        </w:rPr>
        <w:t xml:space="preserve"> да учествујете </w:t>
      </w:r>
      <w:r w:rsidR="00D01607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и</w:t>
      </w:r>
      <w:r w:rsidR="00D01607" w:rsidRPr="00D01607">
        <w:rPr>
          <w:rFonts w:ascii="Arial" w:hAnsi="Arial" w:cs="Arial"/>
          <w:lang w:val="sr-Cyrl-RS"/>
        </w:rPr>
        <w:t xml:space="preserve"> </w:t>
      </w:r>
      <w:r w:rsidR="00D01607" w:rsidRPr="00ED10AB">
        <w:rPr>
          <w:rFonts w:ascii="Arial" w:hAnsi="Arial" w:cs="Arial"/>
          <w:lang w:val="sr-Cyrl-RS"/>
        </w:rPr>
        <w:t>потпишете</w:t>
      </w:r>
      <w:r w:rsidRPr="00ED10AB">
        <w:rPr>
          <w:rFonts w:ascii="Arial" w:hAnsi="Arial" w:cs="Arial"/>
          <w:lang w:val="sr-Cyrl-RS"/>
        </w:rPr>
        <w:t xml:space="preserve">, одвојите време да </w:t>
      </w:r>
      <w:r w:rsidRPr="00ED10AB">
        <w:rPr>
          <w:rFonts w:ascii="Arial" w:hAnsi="Arial" w:cs="Arial"/>
          <w:lang w:val="sr-Cyrl-RS"/>
        </w:rPr>
        <w:lastRenderedPageBreak/>
        <w:t xml:space="preserve">прегледате </w:t>
      </w:r>
      <w:r w:rsidR="009C74EA">
        <w:rPr>
          <w:rFonts w:ascii="Arial" w:hAnsi="Arial" w:cs="Arial"/>
          <w:lang w:val="sr-Cyrl-RS"/>
        </w:rPr>
        <w:t>информисани пристанак</w:t>
      </w:r>
      <w:r w:rsidRPr="00ED10AB">
        <w:rPr>
          <w:rFonts w:ascii="Arial" w:hAnsi="Arial" w:cs="Arial"/>
          <w:lang w:val="sr-Cyrl-RS"/>
        </w:rPr>
        <w:t xml:space="preserve"> и разговарате о њему са свој</w:t>
      </w:r>
      <w:r w:rsidR="00D01607">
        <w:rPr>
          <w:rFonts w:ascii="Arial" w:hAnsi="Arial" w:cs="Arial"/>
          <w:lang w:val="sr-Cyrl-RS"/>
        </w:rPr>
        <w:t xml:space="preserve">ом породицом (подршком, </w:t>
      </w:r>
      <w:r w:rsidRPr="00ED10AB">
        <w:rPr>
          <w:rFonts w:ascii="Arial" w:hAnsi="Arial" w:cs="Arial"/>
          <w:lang w:val="sr-Cyrl-RS"/>
        </w:rPr>
        <w:t>неговатељ</w:t>
      </w:r>
      <w:r w:rsidR="00D01607">
        <w:rPr>
          <w:rFonts w:ascii="Arial" w:hAnsi="Arial" w:cs="Arial"/>
          <w:lang w:val="sr-Cyrl-RS"/>
        </w:rPr>
        <w:t>ем)</w:t>
      </w:r>
      <w:r w:rsidRPr="00ED10AB">
        <w:rPr>
          <w:rFonts w:ascii="Arial" w:hAnsi="Arial" w:cs="Arial"/>
          <w:lang w:val="sr-Cyrl-RS"/>
        </w:rPr>
        <w:t>, клиничарима и студијским тимом како бисте били сигурни да разумете комплетан документ, укључујући ризике, предности и захтеве студије.</w:t>
      </w:r>
    </w:p>
    <w:p w14:paraId="65E12E15" w14:textId="26CC908D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Када </w:t>
      </w:r>
      <w:r w:rsidR="009C74EA">
        <w:rPr>
          <w:rFonts w:ascii="Arial" w:hAnsi="Arial" w:cs="Arial"/>
          <w:lang w:val="sr-Cyrl-RS"/>
        </w:rPr>
        <w:t>сте укључени</w:t>
      </w:r>
      <w:r w:rsidRPr="00ED10AB">
        <w:rPr>
          <w:rFonts w:ascii="Arial" w:hAnsi="Arial" w:cs="Arial"/>
          <w:lang w:val="sr-Cyrl-RS"/>
        </w:rPr>
        <w:t xml:space="preserve"> у клиничко испитивање, имаћете више посета </w:t>
      </w:r>
      <w:r w:rsidR="009C74EA">
        <w:rPr>
          <w:rFonts w:ascii="Arial" w:hAnsi="Arial" w:cs="Arial"/>
          <w:lang w:val="sr-Cyrl-RS"/>
        </w:rPr>
        <w:t xml:space="preserve">здравственом центру у којем се спроводи испитивање </w:t>
      </w:r>
      <w:r w:rsidRPr="00ED10AB">
        <w:rPr>
          <w:rFonts w:ascii="Arial" w:hAnsi="Arial" w:cs="Arial"/>
          <w:lang w:val="sr-Cyrl-RS"/>
        </w:rPr>
        <w:t xml:space="preserve">ради примене терапије и мерења одговора на </w:t>
      </w:r>
      <w:r w:rsidR="009C74EA">
        <w:rPr>
          <w:rFonts w:ascii="Arial" w:hAnsi="Arial" w:cs="Arial"/>
          <w:lang w:val="sr-Cyrl-RS"/>
        </w:rPr>
        <w:t>лек.</w:t>
      </w:r>
      <w:r w:rsidRPr="00ED10AB">
        <w:rPr>
          <w:rFonts w:ascii="Arial" w:hAnsi="Arial" w:cs="Arial"/>
          <w:lang w:val="sr-Cyrl-RS"/>
        </w:rPr>
        <w:t xml:space="preserve"> Током ових посета, можда ће вам бити узета </w:t>
      </w:r>
      <w:r w:rsidR="009C74EA">
        <w:rPr>
          <w:rFonts w:ascii="Arial" w:hAnsi="Arial" w:cs="Arial"/>
          <w:lang w:val="sr-Cyrl-RS"/>
        </w:rPr>
        <w:t xml:space="preserve">венска </w:t>
      </w:r>
      <w:r w:rsidRPr="00ED10AB">
        <w:rPr>
          <w:rFonts w:ascii="Arial" w:hAnsi="Arial" w:cs="Arial"/>
          <w:lang w:val="sr-Cyrl-RS"/>
        </w:rPr>
        <w:t>крв</w:t>
      </w:r>
      <w:r w:rsidR="009C74EA">
        <w:rPr>
          <w:rFonts w:ascii="Arial" w:hAnsi="Arial" w:cs="Arial"/>
          <w:lang w:val="sr-Cyrl-RS"/>
        </w:rPr>
        <w:t xml:space="preserve"> за анализу</w:t>
      </w:r>
      <w:r w:rsidRPr="00ED10AB">
        <w:rPr>
          <w:rFonts w:ascii="Arial" w:hAnsi="Arial" w:cs="Arial"/>
          <w:lang w:val="sr-Cyrl-RS"/>
        </w:rPr>
        <w:t xml:space="preserve">, биопсија коштане сржи, снимање, мерење виталних знакова или </w:t>
      </w:r>
      <w:r w:rsidR="009C74EA">
        <w:rPr>
          <w:rFonts w:ascii="Arial" w:hAnsi="Arial" w:cs="Arial"/>
          <w:lang w:val="sr-Cyrl-RS"/>
        </w:rPr>
        <w:t>анализа</w:t>
      </w:r>
      <w:r w:rsidR="009C74EA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>урина</w:t>
      </w:r>
    </w:p>
    <w:p w14:paraId="0AB1DB3C" w14:textId="0C5B93D8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</w:t>
      </w:r>
      <w:r w:rsidR="009C74EA">
        <w:rPr>
          <w:rFonts w:ascii="Arial" w:hAnsi="Arial" w:cs="Arial"/>
          <w:lang w:val="sr-Cyrl-RS"/>
        </w:rPr>
        <w:t>Боравак у здравственом центру у којем се спроводи клиничко испитиванје може</w:t>
      </w:r>
      <w:r w:rsidRPr="00ED10AB">
        <w:rPr>
          <w:rFonts w:ascii="Arial" w:hAnsi="Arial" w:cs="Arial"/>
          <w:lang w:val="sr-Cyrl-RS"/>
        </w:rPr>
        <w:t xml:space="preserve"> трајати од неколико сати до неколико дана. </w:t>
      </w:r>
      <w:r w:rsidR="009C74EA">
        <w:rPr>
          <w:rFonts w:ascii="Arial" w:hAnsi="Arial" w:cs="Arial"/>
          <w:lang w:val="sr-Cyrl-RS"/>
        </w:rPr>
        <w:t xml:space="preserve">Некад можете провести неколико данапосле терапије  </w:t>
      </w:r>
      <w:r w:rsidRPr="00ED10AB">
        <w:rPr>
          <w:rFonts w:ascii="Arial" w:hAnsi="Arial" w:cs="Arial"/>
          <w:lang w:val="sr-Cyrl-RS"/>
        </w:rPr>
        <w:t>у болници (стационар), где ћете бити посматрани</w:t>
      </w:r>
      <w:r w:rsidR="009C74EA">
        <w:rPr>
          <w:rFonts w:ascii="Arial" w:hAnsi="Arial" w:cs="Arial"/>
          <w:lang w:val="sr-Cyrl-RS"/>
        </w:rPr>
        <w:t>.</w:t>
      </w:r>
      <w:r w:rsidRPr="00ED10AB">
        <w:rPr>
          <w:rFonts w:ascii="Arial" w:hAnsi="Arial" w:cs="Arial"/>
          <w:lang w:val="sr-Cyrl-RS"/>
        </w:rPr>
        <w:t xml:space="preserve"> </w:t>
      </w:r>
      <w:r w:rsidR="009C74EA">
        <w:rPr>
          <w:rFonts w:ascii="Arial" w:hAnsi="Arial" w:cs="Arial"/>
          <w:lang w:val="sr-Cyrl-RS"/>
        </w:rPr>
        <w:t>Некад ће посете центру бити само кроз</w:t>
      </w:r>
      <w:r w:rsidRPr="00ED10AB">
        <w:rPr>
          <w:rFonts w:ascii="Arial" w:hAnsi="Arial" w:cs="Arial"/>
          <w:lang w:val="sr-Cyrl-RS"/>
        </w:rPr>
        <w:t xml:space="preserve"> </w:t>
      </w:r>
      <w:r w:rsidR="009C74EA" w:rsidRPr="00ED10AB">
        <w:rPr>
          <w:rFonts w:ascii="Arial" w:hAnsi="Arial" w:cs="Arial"/>
          <w:lang w:val="sr-Cyrl-RS"/>
        </w:rPr>
        <w:t>амбулантн</w:t>
      </w:r>
      <w:r w:rsidR="009C74EA">
        <w:rPr>
          <w:rFonts w:ascii="Arial" w:hAnsi="Arial" w:cs="Arial"/>
          <w:lang w:val="sr-Cyrl-RS"/>
        </w:rPr>
        <w:t>у</w:t>
      </w:r>
      <w:r w:rsidR="009C74EA" w:rsidRPr="00ED10AB">
        <w:rPr>
          <w:rFonts w:ascii="Arial" w:hAnsi="Arial" w:cs="Arial"/>
          <w:lang w:val="sr-Cyrl-RS"/>
        </w:rPr>
        <w:t xml:space="preserve"> </w:t>
      </w:r>
      <w:r w:rsidR="009C74EA">
        <w:rPr>
          <w:rFonts w:ascii="Arial" w:hAnsi="Arial" w:cs="Arial"/>
          <w:lang w:val="sr-Cyrl-RS"/>
        </w:rPr>
        <w:t>кроз</w:t>
      </w:r>
      <w:r w:rsidRPr="00ED10AB">
        <w:rPr>
          <w:rFonts w:ascii="Arial" w:hAnsi="Arial" w:cs="Arial"/>
          <w:lang w:val="sr-Cyrl-RS"/>
        </w:rPr>
        <w:t xml:space="preserve"> неколико сати да бисте добили третман. Нека клиничка испитивања, иако ретка, омогућавају вам да спроводите лечење код куће уз подршку медицинских сестара</w:t>
      </w:r>
    </w:p>
    <w:p w14:paraId="64344D15" w14:textId="0C84B637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Поред примања </w:t>
      </w:r>
      <w:r w:rsidR="00D01607">
        <w:rPr>
          <w:rFonts w:ascii="Arial" w:hAnsi="Arial" w:cs="Arial"/>
          <w:lang w:val="sr-Cyrl-RS"/>
        </w:rPr>
        <w:t>терапије</w:t>
      </w:r>
      <w:r w:rsidRPr="00ED10AB">
        <w:rPr>
          <w:rFonts w:ascii="Arial" w:hAnsi="Arial" w:cs="Arial"/>
          <w:lang w:val="sr-Cyrl-RS"/>
        </w:rPr>
        <w:t xml:space="preserve"> и тестова, ви и ваш</w:t>
      </w:r>
      <w:r w:rsidR="00D01607">
        <w:rPr>
          <w:rFonts w:ascii="Arial" w:hAnsi="Arial" w:cs="Arial"/>
          <w:lang w:val="sr-Cyrl-RS"/>
        </w:rPr>
        <w:t>а подршка</w:t>
      </w:r>
      <w:r w:rsidRPr="00ED10AB">
        <w:rPr>
          <w:rFonts w:ascii="Arial" w:hAnsi="Arial" w:cs="Arial"/>
          <w:lang w:val="sr-Cyrl-RS"/>
        </w:rPr>
        <w:t xml:space="preserve"> ћете морати да пратите симптоме или нежељене догађаје. Ово може захтевати праћење код куће, као што је мерење крвног притиска или температуре и попуњавање дневника или докумената да би се ове информације пријавиле студијском тиму</w:t>
      </w:r>
    </w:p>
    <w:p w14:paraId="457E18FD" w14:textId="26EE3450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Поред праћења, од вас ће се можда тражити да попуните упитник о исходу (или ПРО) који је пријавио пацијент током </w:t>
      </w:r>
      <w:r w:rsidR="009C74EA" w:rsidRPr="00ED10AB">
        <w:rPr>
          <w:rFonts w:ascii="Arial" w:hAnsi="Arial" w:cs="Arial"/>
          <w:lang w:val="sr-Cyrl-RS"/>
        </w:rPr>
        <w:t>т</w:t>
      </w:r>
      <w:r w:rsidR="009C74EA">
        <w:rPr>
          <w:rFonts w:ascii="Arial" w:hAnsi="Arial" w:cs="Arial"/>
          <w:lang w:val="sr-Cyrl-RS"/>
        </w:rPr>
        <w:t>ерапије</w:t>
      </w:r>
      <w:r w:rsidR="009C74EA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или накнадних посета. Ово је веома важно </w:t>
      </w:r>
      <w:r w:rsidR="009C74EA">
        <w:rPr>
          <w:rFonts w:ascii="Arial" w:hAnsi="Arial" w:cs="Arial"/>
          <w:lang w:val="sr-Cyrl-RS"/>
        </w:rPr>
        <w:t>урадити</w:t>
      </w:r>
      <w:r w:rsidRPr="00ED10AB">
        <w:rPr>
          <w:rFonts w:ascii="Arial" w:hAnsi="Arial" w:cs="Arial"/>
          <w:lang w:val="sr-Cyrl-RS"/>
        </w:rPr>
        <w:t>. Резултати ових упитника се често пријављују регулаторима како би пацијенту пружили перспективу о подношљивости лечења и ефектима на квалитет живота. Ови упитници често постављају питања о вашем болу, депресији, сну, расположењу, физичкој покретљивости, задовољству, симптомима које доживљавате и општим питањима о томе како се осећате. Ове информације ће се прикупљати на неколико начина, као што су телефонски интервјуи, на таблету или електронском уређају или на папиру и може потрајати неколико минута. Ако икада будете имали проблема да их испуните, замолите студијски тим за помоћ. Неки примери упитника који се често користе у клиничким испитивањима су следећи:</w:t>
      </w:r>
    </w:p>
    <w:p w14:paraId="11916D24" w14:textId="77777777" w:rsidR="00F031D4" w:rsidRPr="00ED10AB" w:rsidRDefault="00F031D4" w:rsidP="00F031D4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Упитник за квалитет живота Европске организације за истраживање и лечење рака (ЕОРТЦ-КЛК-Ц30) или упитник ЕОРТЦ КЛК-МИ20 специфичан за мијелом</w:t>
      </w:r>
    </w:p>
    <w:p w14:paraId="1314BFA5" w14:textId="77777777" w:rsidR="00F031D4" w:rsidRPr="00ED10AB" w:rsidRDefault="00F031D4" w:rsidP="00F031D4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Функционална процена терапије рака (ФАЦТ/ГОГ-Нтк) или упитник ФАЦТ-ММ специфичан за мијелом</w:t>
      </w:r>
    </w:p>
    <w:p w14:paraId="1E08CDF2" w14:textId="4FC4A2DB" w:rsidR="00F031D4" w:rsidRPr="00ED10AB" w:rsidRDefault="00F031D4" w:rsidP="00F031D4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Инвентар симптома МД Андерсон за </w:t>
      </w:r>
      <w:r w:rsidR="00D01607">
        <w:rPr>
          <w:rFonts w:ascii="Arial" w:hAnsi="Arial" w:cs="Arial"/>
          <w:lang w:val="sr-Cyrl-RS"/>
        </w:rPr>
        <w:t>мултипли</w:t>
      </w:r>
      <w:r w:rsidRPr="00ED10AB">
        <w:rPr>
          <w:rFonts w:ascii="Arial" w:hAnsi="Arial" w:cs="Arial"/>
          <w:lang w:val="sr-Cyrl-RS"/>
        </w:rPr>
        <w:t xml:space="preserve"> мијелом (МДАСИ-ММ)</w:t>
      </w:r>
    </w:p>
    <w:p w14:paraId="52D18ECF" w14:textId="77777777" w:rsidR="00F031D4" w:rsidRPr="00ED10AB" w:rsidRDefault="00F031D4" w:rsidP="00F031D4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Скала исхода пацијената са мијеломом (МиПОС)</w:t>
      </w:r>
    </w:p>
    <w:p w14:paraId="4C60897E" w14:textId="0B5F87C7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Имаћете чешће посете и/или боравке у болници током клиничког испитивања него током </w:t>
      </w:r>
      <w:r w:rsidR="00A03F1D">
        <w:rPr>
          <w:rFonts w:ascii="Arial" w:hAnsi="Arial" w:cs="Arial"/>
          <w:lang w:val="sr-Cyrl-RS"/>
        </w:rPr>
        <w:t>стандардног лечења</w:t>
      </w:r>
      <w:r w:rsidRPr="00ED10AB">
        <w:rPr>
          <w:rFonts w:ascii="Arial" w:hAnsi="Arial" w:cs="Arial"/>
          <w:lang w:val="sr-Cyrl-RS"/>
        </w:rPr>
        <w:t xml:space="preserve">. Због тога је неопходно размотрити логистику и потребу за поузданим превозом и помоћи </w:t>
      </w:r>
      <w:r w:rsidR="00A03F1D">
        <w:rPr>
          <w:rFonts w:ascii="Arial" w:hAnsi="Arial" w:cs="Arial"/>
          <w:lang w:val="sr-Cyrl-RS"/>
        </w:rPr>
        <w:t xml:space="preserve">како не би пропуштали </w:t>
      </w:r>
      <w:r w:rsidR="00A03F1D" w:rsidRPr="00ED10AB">
        <w:rPr>
          <w:rFonts w:ascii="Arial" w:hAnsi="Arial" w:cs="Arial"/>
          <w:lang w:val="sr-Cyrl-RS"/>
        </w:rPr>
        <w:t>заказан</w:t>
      </w:r>
      <w:r w:rsidR="00A03F1D">
        <w:rPr>
          <w:rFonts w:ascii="Arial" w:hAnsi="Arial" w:cs="Arial"/>
          <w:lang w:val="sr-Cyrl-RS"/>
        </w:rPr>
        <w:t>е</w:t>
      </w:r>
      <w:r w:rsidR="00A03F1D" w:rsidRPr="00ED10AB">
        <w:rPr>
          <w:rFonts w:ascii="Arial" w:hAnsi="Arial" w:cs="Arial"/>
          <w:lang w:val="sr-Cyrl-RS"/>
        </w:rPr>
        <w:t xml:space="preserve"> термин</w:t>
      </w:r>
      <w:r w:rsidR="00A03F1D">
        <w:rPr>
          <w:rFonts w:ascii="Arial" w:hAnsi="Arial" w:cs="Arial"/>
          <w:lang w:val="sr-Cyrl-RS"/>
        </w:rPr>
        <w:t>е</w:t>
      </w:r>
      <w:r w:rsidRPr="00ED10AB">
        <w:rPr>
          <w:rFonts w:ascii="Arial" w:hAnsi="Arial" w:cs="Arial"/>
          <w:lang w:val="sr-Cyrl-RS"/>
        </w:rPr>
        <w:t xml:space="preserve">. Неким пацијентима је потребан дужи боравак у болници </w:t>
      </w:r>
      <w:r w:rsidR="00A03F1D">
        <w:rPr>
          <w:rFonts w:ascii="Arial" w:hAnsi="Arial" w:cs="Arial"/>
          <w:lang w:val="sr-Cyrl-RS"/>
        </w:rPr>
        <w:t xml:space="preserve">тј </w:t>
      </w:r>
      <w:r w:rsidRPr="00ED10AB">
        <w:rPr>
          <w:rFonts w:ascii="Arial" w:hAnsi="Arial" w:cs="Arial"/>
          <w:lang w:val="sr-Cyrl-RS"/>
        </w:rPr>
        <w:t xml:space="preserve">у </w:t>
      </w:r>
      <w:r w:rsidR="00A03F1D" w:rsidRPr="00ED10AB">
        <w:rPr>
          <w:rFonts w:ascii="Arial" w:hAnsi="Arial" w:cs="Arial"/>
          <w:lang w:val="sr-Cyrl-RS"/>
        </w:rPr>
        <w:t>центр</w:t>
      </w:r>
      <w:r w:rsidR="00A03F1D">
        <w:rPr>
          <w:rFonts w:ascii="Arial" w:hAnsi="Arial" w:cs="Arial"/>
          <w:lang w:val="sr-Cyrl-RS"/>
        </w:rPr>
        <w:t>у</w:t>
      </w:r>
      <w:r w:rsidR="00A03F1D" w:rsidRPr="00ED10AB">
        <w:rPr>
          <w:rFonts w:ascii="Arial" w:hAnsi="Arial" w:cs="Arial"/>
          <w:lang w:val="sr-Cyrl-RS"/>
        </w:rPr>
        <w:t xml:space="preserve"> </w:t>
      </w:r>
      <w:r w:rsidR="00A03F1D">
        <w:rPr>
          <w:rFonts w:ascii="Arial" w:hAnsi="Arial" w:cs="Arial"/>
          <w:lang w:val="sr-Cyrl-RS"/>
        </w:rPr>
        <w:t>где се спроводи студија</w:t>
      </w:r>
      <w:r w:rsidR="00D01607">
        <w:rPr>
          <w:rFonts w:ascii="Arial" w:hAnsi="Arial" w:cs="Arial"/>
          <w:lang w:val="sr-Cyrl-RS"/>
        </w:rPr>
        <w:t>,</w:t>
      </w:r>
      <w:r w:rsidRPr="00ED10AB">
        <w:rPr>
          <w:rFonts w:ascii="Arial" w:hAnsi="Arial" w:cs="Arial"/>
          <w:lang w:val="sr-Cyrl-RS"/>
        </w:rPr>
        <w:t xml:space="preserve"> који </w:t>
      </w:r>
      <w:r w:rsidR="00A03F1D" w:rsidRPr="00ED10AB">
        <w:rPr>
          <w:rFonts w:ascii="Arial" w:hAnsi="Arial" w:cs="Arial"/>
          <w:lang w:val="sr-Cyrl-RS"/>
        </w:rPr>
        <w:t>ни</w:t>
      </w:r>
      <w:r w:rsidR="00A03F1D">
        <w:rPr>
          <w:rFonts w:ascii="Arial" w:hAnsi="Arial" w:cs="Arial"/>
          <w:lang w:val="sr-Cyrl-RS"/>
        </w:rPr>
        <w:t>је</w:t>
      </w:r>
      <w:r w:rsidR="00A03F1D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близу куће или морају остати близу </w:t>
      </w:r>
      <w:r w:rsidR="000F20EE">
        <w:rPr>
          <w:rFonts w:ascii="Arial" w:hAnsi="Arial" w:cs="Arial"/>
          <w:lang w:val="sr-Cyrl-RS"/>
        </w:rPr>
        <w:t>центра</w:t>
      </w:r>
      <w:r w:rsidRPr="00ED10AB">
        <w:rPr>
          <w:rFonts w:ascii="Arial" w:hAnsi="Arial" w:cs="Arial"/>
          <w:lang w:val="sr-Cyrl-RS"/>
        </w:rPr>
        <w:t xml:space="preserve">. Због тога је кључно размотрити трошкове и изводљивост транспорта (као што је локација </w:t>
      </w:r>
      <w:r w:rsidR="000F20EE">
        <w:rPr>
          <w:rFonts w:ascii="Arial" w:hAnsi="Arial" w:cs="Arial"/>
          <w:lang w:val="sr-Cyrl-RS"/>
        </w:rPr>
        <w:t xml:space="preserve">здравственог </w:t>
      </w:r>
      <w:r w:rsidRPr="00ED10AB">
        <w:rPr>
          <w:rFonts w:ascii="Arial" w:hAnsi="Arial" w:cs="Arial"/>
          <w:lang w:val="sr-Cyrl-RS"/>
        </w:rPr>
        <w:t xml:space="preserve">центра у односу на ваш дом) и боравка у болници током клиничког испитивања. Неки спонзори клиничких испитивања могу надокнадити трошкове превоза и хотела за </w:t>
      </w:r>
      <w:r w:rsidR="00876716">
        <w:rPr>
          <w:rFonts w:ascii="Arial" w:hAnsi="Arial" w:cs="Arial"/>
          <w:lang w:val="sr-Cyrl-RS"/>
        </w:rPr>
        <w:t>подршку</w:t>
      </w:r>
      <w:r w:rsidRPr="00ED10AB">
        <w:rPr>
          <w:rFonts w:ascii="Arial" w:hAnsi="Arial" w:cs="Arial"/>
          <w:lang w:val="sr-Cyrl-RS"/>
        </w:rPr>
        <w:t xml:space="preserve"> и пацијенте. Ипак, ово није увек загарантовано и вероватно ће постојати неки сопствени трошкови повезани са клиничким испитивањем.</w:t>
      </w:r>
    </w:p>
    <w:p w14:paraId="213CC567" w14:textId="5DEBE451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Поред сопствених трошкова за транспорт и становање, морате да разјасните даље потенцијалне трошкове са спонзором студије. Ово укључује трошкове везане за испитивани лек, хоспитализацију и управљање нежељеним догађајима. Такође, морате бити свесни потенцијалне компензације ако умрете или будете повређени због испитиваног лека.</w:t>
      </w:r>
    </w:p>
    <w:p w14:paraId="0D78C64C" w14:textId="133057C2" w:rsidR="00F031D4" w:rsidRPr="00ED10AB" w:rsidRDefault="00F031D4" w:rsidP="00F031D4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7. Информисани пристанак</w:t>
      </w:r>
    </w:p>
    <w:p w14:paraId="4B09CBD5" w14:textId="77777777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Документ о информисаном пристанку је добровољни пристанак за учешће у клиничком испитивању након што учесник добије опширне информације о студији. Информације о информисаној сагласности треба да буду обезбеђене у писаном облику, на матерњем језику учесника и нивоу читања, и на начин који је лак за разумевање. Информисани пристанак треба да буде сталан процес који се дешава на почетку и током студије. Документи о сагласности треба да садрже следеће елементе:</w:t>
      </w:r>
    </w:p>
    <w:p w14:paraId="51DD9141" w14:textId="565DE8DE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Објашњење сврхе истраживања, механизам деловања лекова (ако их има) и дизајн студије клиничког испитивања (</w:t>
      </w:r>
      <w:r w:rsidR="00B66E11">
        <w:rPr>
          <w:rFonts w:ascii="Arial" w:hAnsi="Arial" w:cs="Arial"/>
          <w:lang w:val="sr-Cyrl-RS"/>
        </w:rPr>
        <w:t>случајност</w:t>
      </w:r>
      <w:r w:rsidRPr="00ED10AB">
        <w:rPr>
          <w:rFonts w:ascii="Arial" w:hAnsi="Arial" w:cs="Arial"/>
          <w:lang w:val="sr-Cyrl-RS"/>
        </w:rPr>
        <w:t>, заслепљивање)</w:t>
      </w:r>
    </w:p>
    <w:p w14:paraId="3C1A5383" w14:textId="6AE89FD4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Опис процедура (тестирање, примена), пут примене и мерења </w:t>
      </w:r>
      <w:r w:rsidR="002A0193">
        <w:rPr>
          <w:rFonts w:ascii="Arial" w:hAnsi="Arial" w:cs="Arial"/>
          <w:lang w:val="sr-Cyrl-RS"/>
        </w:rPr>
        <w:t>параметара релевантних за болест</w:t>
      </w:r>
      <w:r w:rsidRPr="00ED10AB">
        <w:rPr>
          <w:rFonts w:ascii="Arial" w:hAnsi="Arial" w:cs="Arial"/>
          <w:lang w:val="sr-Cyrl-RS"/>
        </w:rPr>
        <w:t>; идентификацију који поступци/лекови су експериментални</w:t>
      </w:r>
    </w:p>
    <w:p w14:paraId="5902ADD1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Изјава да је учешће добровољно и да се може повући у било ком тренутку и сагласност да се питања могу постављати пре и у било ком тренутку током студије</w:t>
      </w:r>
    </w:p>
    <w:p w14:paraId="56D313F9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Опис свих разумно предвидљивих ризика, нелагодности, недостатака или утицаја на квалитет живота</w:t>
      </w:r>
    </w:p>
    <w:p w14:paraId="7AB22A9E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Опис свих погодности</w:t>
      </w:r>
    </w:p>
    <w:p w14:paraId="2019F692" w14:textId="3DA2D78F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Обавештавање о свим потенцијалним алтернативама</w:t>
      </w:r>
      <w:r w:rsidR="00876716">
        <w:rPr>
          <w:rFonts w:ascii="Arial" w:hAnsi="Arial" w:cs="Arial"/>
          <w:lang w:val="sr-Cyrl-RS"/>
        </w:rPr>
        <w:t>,</w:t>
      </w:r>
      <w:r w:rsidRPr="00ED10AB">
        <w:rPr>
          <w:rFonts w:ascii="Arial" w:hAnsi="Arial" w:cs="Arial"/>
          <w:lang w:val="sr-Cyrl-RS"/>
        </w:rPr>
        <w:t xml:space="preserve"> које могу бити од користи, а не учешће у студији</w:t>
      </w:r>
    </w:p>
    <w:p w14:paraId="1F150C98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Информације о руковању и откривању осетљивих података (поверљивост), укључујући генетско тестирање, узорке ткива или биопсије, резултате стања болести током и након завршетка истраживања</w:t>
      </w:r>
    </w:p>
    <w:p w14:paraId="0590D6A0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Планови извештавања за истраживање (публикације, итд.)</w:t>
      </w:r>
    </w:p>
    <w:p w14:paraId="20865C78" w14:textId="6A93CCA5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Информације о надокнади за учеснике у случају повреде или смрти услед </w:t>
      </w:r>
      <w:r w:rsidR="002A0193">
        <w:rPr>
          <w:rFonts w:ascii="Arial" w:hAnsi="Arial" w:cs="Arial"/>
          <w:lang w:val="sr-Cyrl-RS"/>
        </w:rPr>
        <w:t>испитиване терапије у</w:t>
      </w:r>
      <w:r w:rsidR="002A0193" w:rsidRPr="00ED10AB">
        <w:rPr>
          <w:rFonts w:ascii="Arial" w:hAnsi="Arial" w:cs="Arial"/>
          <w:lang w:val="sr-Cyrl-RS"/>
        </w:rPr>
        <w:t xml:space="preserve"> студиј</w:t>
      </w:r>
      <w:r w:rsidR="002A0193">
        <w:rPr>
          <w:rFonts w:ascii="Arial" w:hAnsi="Arial" w:cs="Arial"/>
          <w:lang w:val="sr-Cyrl-RS"/>
        </w:rPr>
        <w:t>и</w:t>
      </w:r>
    </w:p>
    <w:p w14:paraId="40A37110" w14:textId="5D961EBD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Откривање спонзора истраживања и контакт информација за спонзоре студије и одговарајуће појединце где се могу поставити питања</w:t>
      </w:r>
    </w:p>
    <w:p w14:paraId="6D5C0B27" w14:textId="0AAB5CCD" w:rsidR="00F031D4" w:rsidRPr="00ED10AB" w:rsidRDefault="00F031D4" w:rsidP="00F031D4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8. Подобност клиничког испитивања</w:t>
      </w:r>
    </w:p>
    <w:p w14:paraId="3152D818" w14:textId="586D89A2" w:rsidR="00F031D4" w:rsidRPr="00ED10AB" w:rsidRDefault="00F031D4" w:rsidP="00671A51">
      <w:pPr>
        <w:jc w:val="both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Да бисте имали право </w:t>
      </w:r>
      <w:r w:rsidR="002A0193">
        <w:rPr>
          <w:rFonts w:ascii="Arial" w:hAnsi="Arial" w:cs="Arial"/>
          <w:lang w:val="sr-Cyrl-RS"/>
        </w:rPr>
        <w:t>на укључење у</w:t>
      </w:r>
      <w:r w:rsidR="002A0193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клиничко испитивање, морате испунити различите строге критеријуме. Истраживања су показала да коришћење строгих критеријума подобности често елиминише око 56,8% пацијената од учешћа у клиничком испитивању. Ови критеријуми се називају критеријуми за укључивање и искључивање и често су повезани са вашим лабораторијским резултатима, претходним третманима, нивоом </w:t>
      </w:r>
      <w:r w:rsidR="002A0193">
        <w:rPr>
          <w:rFonts w:ascii="Arial" w:hAnsi="Arial" w:cs="Arial"/>
          <w:lang w:val="sr-Cyrl-RS"/>
        </w:rPr>
        <w:t>виталности</w:t>
      </w:r>
      <w:r w:rsidR="002A0193" w:rsidRPr="00ED10AB">
        <w:rPr>
          <w:rFonts w:ascii="Arial" w:hAnsi="Arial" w:cs="Arial"/>
          <w:lang w:val="sr-Cyrl-RS"/>
        </w:rPr>
        <w:t xml:space="preserve"> </w:t>
      </w:r>
      <w:r w:rsidRPr="00ED10AB">
        <w:rPr>
          <w:rFonts w:ascii="Arial" w:hAnsi="Arial" w:cs="Arial"/>
          <w:lang w:val="sr-Cyrl-RS"/>
        </w:rPr>
        <w:t xml:space="preserve">и целокупним здрављем. Критеријуми укључивања и искључивања се користе да би се осигурала безбедност и валидност дизајна и резултата клиничког испитивања. Иако постоји одређена забринутост због престрогих критеријума за укључивање и искључење, неопходно је ограничити улазак неких учесника у клиничко испитивање како би се спречили неочекивани нежељени ефекти или чак смрт у неким тешким случајевима. Такође, критеријуми за укључивање и искључивање раде како би се осигурало да ће општа популација имати исто, ако не и слично, искуство као и они у клиничком испитивању, а присуство других болести или </w:t>
      </w:r>
      <w:r w:rsidR="00654CBF" w:rsidRPr="00ED10AB">
        <w:rPr>
          <w:rFonts w:ascii="Arial" w:hAnsi="Arial" w:cs="Arial"/>
          <w:lang w:val="sr-Cyrl-RS"/>
        </w:rPr>
        <w:t>карцинома</w:t>
      </w:r>
      <w:r w:rsidRPr="00ED10AB">
        <w:rPr>
          <w:rFonts w:ascii="Arial" w:hAnsi="Arial" w:cs="Arial"/>
          <w:lang w:val="sr-Cyrl-RS"/>
        </w:rPr>
        <w:t xml:space="preserve"> може потенцијално да утиче на резултате клиничког испитивања.</w:t>
      </w:r>
    </w:p>
    <w:p w14:paraId="5238D581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lastRenderedPageBreak/>
        <w:t>• Неки примери стандардних критеријума укључивања у клиничка испитивања мијелома и АЛ амилоидозе су:</w:t>
      </w:r>
    </w:p>
    <w:p w14:paraId="696385F6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Пацијенти старији од 18 година (и често млађи од 75 година)</w:t>
      </w:r>
    </w:p>
    <w:p w14:paraId="2A170EE0" w14:textId="7F64E0BC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Пацијенти са дијагнозом мијелома (често се лекови иницијално тестирају код пацијената са </w:t>
      </w:r>
      <w:r w:rsidR="00654CBF">
        <w:rPr>
          <w:rFonts w:ascii="Arial" w:hAnsi="Arial" w:cs="Arial"/>
          <w:lang w:val="sr-Cyrl-RS"/>
        </w:rPr>
        <w:t>релапсним</w:t>
      </w:r>
      <w:r w:rsidRPr="00ED10AB">
        <w:rPr>
          <w:rFonts w:ascii="Arial" w:hAnsi="Arial" w:cs="Arial"/>
          <w:lang w:val="sr-Cyrl-RS"/>
        </w:rPr>
        <w:t>/рефракторним мијеломом који су исцрпели све своје могућности лечења)</w:t>
      </w:r>
    </w:p>
    <w:p w14:paraId="51A27F6A" w14:textId="668B0F45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Пацијенти са оценом статуса перформанси </w:t>
      </w:r>
      <w:r w:rsidR="00654CBF" w:rsidRPr="00654CBF">
        <w:rPr>
          <w:rFonts w:ascii="Arial" w:hAnsi="Arial" w:cs="Arial"/>
          <w:lang w:val="sr-Cyrl-RS"/>
        </w:rPr>
        <w:t xml:space="preserve">Источна кооперативна онколошка група </w:t>
      </w:r>
      <w:r w:rsidR="00654CBF">
        <w:rPr>
          <w:rFonts w:ascii="Arial" w:hAnsi="Arial" w:cs="Arial"/>
          <w:lang w:val="sr-Cyrl-RS"/>
        </w:rPr>
        <w:t xml:space="preserve"> (</w:t>
      </w:r>
      <w:r w:rsidR="00654CBF" w:rsidRPr="00654CBF">
        <w:rPr>
          <w:rFonts w:ascii="Arial" w:hAnsi="Arial" w:cs="Arial"/>
          <w:lang w:val="sr-Cyrl-RS"/>
        </w:rPr>
        <w:t xml:space="preserve">Eastern Cooperative Oncology Group </w:t>
      </w:r>
      <w:r w:rsidR="00654CBF">
        <w:rPr>
          <w:rFonts w:ascii="Arial" w:hAnsi="Arial" w:cs="Arial"/>
          <w:lang w:val="sr-Cyrl-RS"/>
        </w:rPr>
        <w:t xml:space="preserve">- </w:t>
      </w:r>
      <w:r w:rsidRPr="00ED10AB">
        <w:rPr>
          <w:rFonts w:ascii="Arial" w:hAnsi="Arial" w:cs="Arial"/>
          <w:lang w:val="sr-Cyrl-RS"/>
        </w:rPr>
        <w:t>ЕЦОГ) од 0 или 1 што указује да су довољно функционални да толеришу лечење</w:t>
      </w:r>
    </w:p>
    <w:p w14:paraId="61FEEFC1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Присуство мерљивих ћелија рака мијелома или парапротеина</w:t>
      </w:r>
    </w:p>
    <w:p w14:paraId="0C40AEAF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Неки примери стандардних критеријума искључења у клиничким испитивањима мијелома и АЛ амилоидозе су:</w:t>
      </w:r>
    </w:p>
    <w:p w14:paraId="287A34CF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Историја или тренутно присуство других карцинома</w:t>
      </w:r>
    </w:p>
    <w:p w14:paraId="7348BCBE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Умерена до тешка неуропатија</w:t>
      </w:r>
    </w:p>
    <w:p w14:paraId="487DB32B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Претходно лечење одређеним леком за мијелом</w:t>
      </w:r>
    </w:p>
    <w:p w14:paraId="194F5310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Тешка инсуфицијенција срца, бубрега или јетре</w:t>
      </w:r>
    </w:p>
    <w:p w14:paraId="13324982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Инфекција ХИВ-ом или хепатитисом Ц</w:t>
      </w:r>
    </w:p>
    <w:p w14:paraId="0B3AB8A7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Забринутост због злоупотребе супстанци</w:t>
      </w:r>
    </w:p>
    <w:p w14:paraId="66CA8986" w14:textId="77777777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Забринутост за ментално здравље</w:t>
      </w:r>
    </w:p>
    <w:p w14:paraId="030AD5FD" w14:textId="7D45E9CF" w:rsidR="00F031D4" w:rsidRPr="00ED10AB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Историја неуспеха лечења на одговарајући начин или много пропуштених </w:t>
      </w:r>
      <w:r w:rsidR="00330B07">
        <w:rPr>
          <w:rFonts w:ascii="Arial" w:hAnsi="Arial" w:cs="Arial"/>
          <w:lang w:val="sr-Cyrl-RS"/>
        </w:rPr>
        <w:t>долазака</w:t>
      </w:r>
    </w:p>
    <w:p w14:paraId="6B13ECA0" w14:textId="7E27A1DB" w:rsidR="00F031D4" w:rsidRDefault="00F031D4" w:rsidP="00654CBF">
      <w:pPr>
        <w:ind w:left="708"/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Присуство ћелија рака мијелома изван коштане сржи (често у облику тумора) познатих као екстрамедуларна болест </w:t>
      </w:r>
    </w:p>
    <w:p w14:paraId="458A2416" w14:textId="77777777" w:rsidR="00654CBF" w:rsidRPr="00ED10AB" w:rsidRDefault="00654CBF" w:rsidP="00654CBF">
      <w:pPr>
        <w:ind w:left="708"/>
        <w:rPr>
          <w:rFonts w:ascii="Arial" w:hAnsi="Arial" w:cs="Arial"/>
          <w:lang w:val="sr-Cyrl-RS"/>
        </w:rPr>
      </w:pPr>
    </w:p>
    <w:p w14:paraId="7F24C42F" w14:textId="517951E8" w:rsidR="00F031D4" w:rsidRPr="00ED10AB" w:rsidRDefault="00F031D4" w:rsidP="00F031D4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 xml:space="preserve">9. Шта треба да узмем у обзир пре него што се </w:t>
      </w:r>
      <w:r w:rsidR="00330B07">
        <w:rPr>
          <w:rFonts w:ascii="Arial" w:hAnsi="Arial" w:cs="Arial"/>
          <w:b/>
          <w:bCs/>
          <w:sz w:val="24"/>
          <w:szCs w:val="24"/>
          <w:lang w:val="sr-Cyrl-RS"/>
        </w:rPr>
        <w:t xml:space="preserve">укључим </w:t>
      </w:r>
      <w:r w:rsidRPr="00ED10AB">
        <w:rPr>
          <w:rFonts w:ascii="Arial" w:hAnsi="Arial" w:cs="Arial"/>
          <w:b/>
          <w:bCs/>
          <w:sz w:val="24"/>
          <w:szCs w:val="24"/>
          <w:lang w:val="sr-Cyrl-RS"/>
        </w:rPr>
        <w:t>у клиничко испитивање?</w:t>
      </w:r>
    </w:p>
    <w:p w14:paraId="52E7555D" w14:textId="77777777" w:rsidR="00F031D4" w:rsidRPr="00ED10AB" w:rsidRDefault="00F031D4" w:rsidP="00F031D4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>Логистичка разматрања:</w:t>
      </w:r>
    </w:p>
    <w:p w14:paraId="0FC2ACE0" w14:textId="3A98AFD1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Да ли постоје неки трошкови за мене и/или моје неговатеље</w:t>
      </w:r>
      <w:r w:rsidR="00330B07">
        <w:rPr>
          <w:rFonts w:ascii="Arial" w:hAnsi="Arial" w:cs="Arial"/>
          <w:lang w:val="sr-Cyrl-RS"/>
        </w:rPr>
        <w:t xml:space="preserve"> к</w:t>
      </w:r>
      <w:r w:rsidRPr="00ED10AB">
        <w:rPr>
          <w:rFonts w:ascii="Arial" w:hAnsi="Arial" w:cs="Arial"/>
          <w:lang w:val="sr-Cyrl-RS"/>
        </w:rPr>
        <w:t>ао што је одсуство са посла, путовања, боравак у хотелу, осигурање или медицински трошкови</w:t>
      </w:r>
      <w:r w:rsidR="00330B07">
        <w:rPr>
          <w:rFonts w:ascii="Arial" w:hAnsi="Arial" w:cs="Arial"/>
          <w:lang w:val="sr-Cyrl-RS"/>
        </w:rPr>
        <w:t>?</w:t>
      </w:r>
      <w:r w:rsidRPr="00ED10AB">
        <w:rPr>
          <w:rFonts w:ascii="Arial" w:hAnsi="Arial" w:cs="Arial"/>
          <w:lang w:val="sr-Cyrl-RS"/>
        </w:rPr>
        <w:t xml:space="preserve"> Да ли се ови трошкови рефундирају? Да ли сам спреман да путујем или будем хоспитализован данима или недељамаме?</w:t>
      </w:r>
    </w:p>
    <w:p w14:paraId="3A6EC9EB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Да ли имам одговарајућу подршку код куће и током посета за помоћ у праћењу или другим захтевима у вези са клиничким испитивањем?</w:t>
      </w:r>
    </w:p>
    <w:p w14:paraId="47450D38" w14:textId="77777777" w:rsidR="00F031D4" w:rsidRPr="00ED10AB" w:rsidRDefault="00F031D4" w:rsidP="00F031D4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>Физичка разматрања/третман:</w:t>
      </w:r>
    </w:p>
    <w:p w14:paraId="3F18F6CF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lastRenderedPageBreak/>
        <w:t>• Који су ризици? Да ли осећам да сам спреман да ризикујем у овом тренутку свог живота/процеса болести?</w:t>
      </w:r>
    </w:p>
    <w:p w14:paraId="3BC13865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Да ли постоје алтернативне опције за лечење?</w:t>
      </w:r>
    </w:p>
    <w:p w14:paraId="7E9D4252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Гледајући нежељене ефекте, да ли осећам да су то подношљиви? Да ли сам ово искусио раније?</w:t>
      </w:r>
    </w:p>
    <w:p w14:paraId="72063680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Колико често су ми потребне инвазивне процедуре или тестови током испитивања? Да ли сам спреман да се носим са потенцијалном нелагодношћу повезаном са овим?</w:t>
      </w:r>
    </w:p>
    <w:p w14:paraId="7365D04C" w14:textId="77777777" w:rsidR="00F031D4" w:rsidRPr="00ED10AB" w:rsidRDefault="00F031D4" w:rsidP="00F031D4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>Разматрања о дизајну клиничког испитивања:</w:t>
      </w:r>
    </w:p>
    <w:p w14:paraId="23F4E0EF" w14:textId="7777777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Да ли ћу имати приступ леку након завршетка испитивања ако га могу толерисати и имати користи од њега?</w:t>
      </w:r>
    </w:p>
    <w:p w14:paraId="0465E4E7" w14:textId="322FC1C1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Које су шансе да добијем испитивани лек (тј. да ли ћу бити </w:t>
      </w:r>
      <w:r w:rsidR="00654CBF">
        <w:rPr>
          <w:rFonts w:ascii="Arial" w:hAnsi="Arial" w:cs="Arial"/>
          <w:lang w:val="sr-Cyrl-RS"/>
        </w:rPr>
        <w:t>случај</w:t>
      </w:r>
      <w:r w:rsidRPr="00ED10AB">
        <w:rPr>
          <w:rFonts w:ascii="Arial" w:hAnsi="Arial" w:cs="Arial"/>
          <w:lang w:val="sr-Cyrl-RS"/>
        </w:rPr>
        <w:t xml:space="preserve">ан)? Да ли ћу знати који лек ћу добити (тј. да ли ћу бити </w:t>
      </w:r>
      <w:commentRangeStart w:id="4"/>
      <w:r w:rsidRPr="00ED10AB">
        <w:rPr>
          <w:rFonts w:ascii="Arial" w:hAnsi="Arial" w:cs="Arial"/>
          <w:lang w:val="sr-Cyrl-RS"/>
        </w:rPr>
        <w:t>ослепљен</w:t>
      </w:r>
      <w:commentRangeEnd w:id="4"/>
      <w:r w:rsidR="00330B07">
        <w:rPr>
          <w:rStyle w:val="CommentReference"/>
        </w:rPr>
        <w:commentReference w:id="4"/>
      </w:r>
      <w:r w:rsidRPr="00ED10AB">
        <w:rPr>
          <w:rFonts w:ascii="Arial" w:hAnsi="Arial" w:cs="Arial"/>
          <w:lang w:val="sr-Cyrl-RS"/>
        </w:rPr>
        <w:t>)?</w:t>
      </w:r>
    </w:p>
    <w:p w14:paraId="540B2E9C" w14:textId="0E9DB69A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Како ће се поступати са мојим подацима (о болестима и личним подацима) и како ће бити пријављени?</w:t>
      </w:r>
    </w:p>
    <w:p w14:paraId="4C07F575" w14:textId="216BEB64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Да ли постоји ризик од губитка </w:t>
      </w:r>
      <w:r w:rsidR="00654CBF">
        <w:rPr>
          <w:rFonts w:ascii="Arial" w:hAnsi="Arial" w:cs="Arial"/>
          <w:lang w:val="sr-Cyrl-RS"/>
        </w:rPr>
        <w:t>подобности</w:t>
      </w:r>
      <w:r w:rsidRPr="00ED10AB">
        <w:rPr>
          <w:rFonts w:ascii="Arial" w:hAnsi="Arial" w:cs="Arial"/>
          <w:lang w:val="sr-Cyrl-RS"/>
        </w:rPr>
        <w:t xml:space="preserve"> током испитивања, што значи да нећу добити лек за лечење?</w:t>
      </w:r>
    </w:p>
    <w:p w14:paraId="68605AB9" w14:textId="77777777" w:rsidR="00F031D4" w:rsidRPr="00ED10AB" w:rsidRDefault="00F031D4" w:rsidP="00F031D4">
      <w:pPr>
        <w:rPr>
          <w:rFonts w:ascii="Arial" w:hAnsi="Arial" w:cs="Arial"/>
          <w:i/>
          <w:iCs/>
          <w:lang w:val="sr-Cyrl-RS"/>
        </w:rPr>
      </w:pPr>
      <w:r w:rsidRPr="00ED10AB">
        <w:rPr>
          <w:rFonts w:ascii="Arial" w:hAnsi="Arial" w:cs="Arial"/>
          <w:i/>
          <w:iCs/>
          <w:lang w:val="sr-Cyrl-RS"/>
        </w:rPr>
        <w:t>Лична разматрања:</w:t>
      </w:r>
    </w:p>
    <w:p w14:paraId="53856783" w14:textId="25FE9EE7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Да ли сам са породицом изрекао </w:t>
      </w:r>
      <w:r w:rsidR="00AF6569">
        <w:rPr>
          <w:rFonts w:ascii="Arial" w:hAnsi="Arial" w:cs="Arial"/>
          <w:lang w:val="sr-Cyrl-RS"/>
        </w:rPr>
        <w:t xml:space="preserve">јасно </w:t>
      </w:r>
      <w:r w:rsidRPr="00ED10AB">
        <w:rPr>
          <w:rFonts w:ascii="Arial" w:hAnsi="Arial" w:cs="Arial"/>
          <w:lang w:val="sr-Cyrl-RS"/>
        </w:rPr>
        <w:t xml:space="preserve">своје жеље </w:t>
      </w:r>
      <w:r w:rsidR="00AF6569">
        <w:rPr>
          <w:rFonts w:ascii="Arial" w:hAnsi="Arial" w:cs="Arial"/>
          <w:lang w:val="sr-Cyrl-RS"/>
        </w:rPr>
        <w:t>у случају да ми се нешто деси</w:t>
      </w:r>
      <w:r w:rsidRPr="00ED10AB">
        <w:rPr>
          <w:rFonts w:ascii="Arial" w:hAnsi="Arial" w:cs="Arial"/>
          <w:lang w:val="sr-Cyrl-RS"/>
        </w:rPr>
        <w:t xml:space="preserve"> током </w:t>
      </w:r>
      <w:r w:rsidR="00AF6569">
        <w:rPr>
          <w:rFonts w:ascii="Arial" w:hAnsi="Arial" w:cs="Arial"/>
          <w:lang w:val="sr-Cyrl-RS"/>
        </w:rPr>
        <w:t>испитивања</w:t>
      </w:r>
      <w:r w:rsidRPr="00ED10AB">
        <w:rPr>
          <w:rFonts w:ascii="Arial" w:hAnsi="Arial" w:cs="Arial"/>
          <w:lang w:val="sr-Cyrl-RS"/>
        </w:rPr>
        <w:t xml:space="preserve"> или раније?</w:t>
      </w:r>
    </w:p>
    <w:p w14:paraId="3FE0F38B" w14:textId="78335EB9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 xml:space="preserve">• Да ли сам испунио неке </w:t>
      </w:r>
      <w:r w:rsidR="001B6F23">
        <w:rPr>
          <w:rFonts w:ascii="Arial" w:hAnsi="Arial" w:cs="Arial"/>
          <w:lang w:val="sr-Cyrl-RS"/>
        </w:rPr>
        <w:t>претходне</w:t>
      </w:r>
      <w:r w:rsidRPr="00ED10AB">
        <w:rPr>
          <w:rFonts w:ascii="Arial" w:hAnsi="Arial" w:cs="Arial"/>
          <w:lang w:val="sr-Cyrl-RS"/>
        </w:rPr>
        <w:t xml:space="preserve"> </w:t>
      </w:r>
      <w:r w:rsidR="001B6F23">
        <w:rPr>
          <w:rFonts w:ascii="Arial" w:hAnsi="Arial" w:cs="Arial"/>
          <w:lang w:val="sr-Cyrl-RS"/>
        </w:rPr>
        <w:t>смернице</w:t>
      </w:r>
      <w:r w:rsidRPr="00ED10AB">
        <w:rPr>
          <w:rFonts w:ascii="Arial" w:hAnsi="Arial" w:cs="Arial"/>
          <w:lang w:val="sr-Cyrl-RS"/>
        </w:rPr>
        <w:t>?</w:t>
      </w:r>
    </w:p>
    <w:p w14:paraId="49217DB5" w14:textId="0BFA964C" w:rsidR="00F031D4" w:rsidRPr="00ED10AB" w:rsidRDefault="00F031D4" w:rsidP="00F031D4">
      <w:pPr>
        <w:rPr>
          <w:rFonts w:ascii="Arial" w:hAnsi="Arial" w:cs="Arial"/>
          <w:lang w:val="sr-Cyrl-RS"/>
        </w:rPr>
      </w:pPr>
      <w:r w:rsidRPr="00ED10AB">
        <w:rPr>
          <w:rFonts w:ascii="Arial" w:hAnsi="Arial" w:cs="Arial"/>
          <w:lang w:val="sr-Cyrl-RS"/>
        </w:rPr>
        <w:t>• Шта ми је најважније и како дефинишем квалитет живота?</w:t>
      </w:r>
    </w:p>
    <w:p w14:paraId="2F323093" w14:textId="77777777" w:rsidR="00F031D4" w:rsidRPr="00ED10AB" w:rsidRDefault="00F031D4" w:rsidP="00F031D4">
      <w:pPr>
        <w:rPr>
          <w:lang w:val="sr-Cyrl-RS"/>
        </w:rPr>
      </w:pPr>
    </w:p>
    <w:sectPr w:rsidR="00F031D4" w:rsidRPr="00ED10AB" w:rsidSect="003E03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134" w:right="1134" w:bottom="1134" w:left="1134" w:header="255" w:footer="25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alic Milenkovic, Maja [MDDSI]" w:date="2024-02-20T15:06:00Z" w:initials="GMM[">
    <w:p w14:paraId="43D65AB6" w14:textId="77777777" w:rsidR="00BE2FE5" w:rsidRDefault="00BE2FE5" w:rsidP="00272558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М</w:t>
      </w:r>
      <w:r>
        <w:rPr>
          <w:lang w:val="sr-Cyrl-RS"/>
        </w:rPr>
        <w:t>ожда увод?</w:t>
      </w:r>
    </w:p>
  </w:comment>
  <w:comment w:id="1" w:author="Galic Milenkovic, Maja [MDDSI]" w:date="2024-02-20T15:08:00Z" w:initials="GMM[">
    <w:p w14:paraId="244DDCF7" w14:textId="77777777" w:rsidR="00DB0E55" w:rsidRDefault="00DB0E55" w:rsidP="0028430D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К</w:t>
      </w:r>
      <w:r>
        <w:rPr>
          <w:lang w:val="sr-Cyrl-RS"/>
        </w:rPr>
        <w:t>ако се код нас зове?</w:t>
      </w:r>
    </w:p>
  </w:comment>
  <w:comment w:id="2" w:author="Galic Milenkovic, Maja [MDDSI]" w:date="2024-02-20T15:12:00Z" w:initials="GMM[">
    <w:p w14:paraId="03B670F5" w14:textId="77777777" w:rsidR="00DB0E55" w:rsidRDefault="00DB0E55" w:rsidP="001B726E">
      <w:pPr>
        <w:pStyle w:val="CommentText"/>
      </w:pPr>
      <w:r>
        <w:rPr>
          <w:rStyle w:val="CommentReference"/>
        </w:rPr>
        <w:annotationRef/>
      </w:r>
      <w:r>
        <w:rPr>
          <w:lang w:val="sr-Cyrl-RS"/>
        </w:rPr>
        <w:t>ПОТРЕБНО КОРИГОВАТИ</w:t>
      </w:r>
    </w:p>
  </w:comment>
  <w:comment w:id="3" w:author="Galic Milenkovic, Maja [MDDSI]" w:date="2024-02-20T15:51:00Z" w:initials="GMM[">
    <w:p w14:paraId="4B13BB29" w14:textId="77777777" w:rsidR="00C515FC" w:rsidRDefault="00C515FC" w:rsidP="00F43359">
      <w:pPr>
        <w:pStyle w:val="CommentText"/>
      </w:pPr>
      <w:r>
        <w:rPr>
          <w:rStyle w:val="CommentReference"/>
        </w:rPr>
        <w:annotationRef/>
      </w:r>
      <w:r>
        <w:rPr>
          <w:lang w:val="sr-Cyrl-RS"/>
        </w:rPr>
        <w:t>?</w:t>
      </w:r>
    </w:p>
  </w:comment>
  <w:comment w:id="4" w:author="Galic Milenkovic, Maja [MDDSI]" w:date="2024-02-20T16:27:00Z" w:initials="GMM[">
    <w:p w14:paraId="5EB0D9C1" w14:textId="77777777" w:rsidR="00330B07" w:rsidRDefault="00330B07" w:rsidP="00365710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Д</w:t>
      </w:r>
      <w:r>
        <w:rPr>
          <w:lang w:val="sr-Cyrl-RS"/>
        </w:rPr>
        <w:t>а ли имамо болји израз?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3D65AB6" w15:done="0"/>
  <w15:commentEx w15:paraId="244DDCF7" w15:done="0"/>
  <w15:commentEx w15:paraId="03B670F5" w15:done="0"/>
  <w15:commentEx w15:paraId="4B13BB29" w15:done="0"/>
  <w15:commentEx w15:paraId="5EB0D9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7F3E66" w16cex:dateUtc="2024-02-20T14:06:00Z"/>
  <w16cex:commentExtensible w16cex:durableId="297F3F05" w16cex:dateUtc="2024-02-20T14:08:00Z"/>
  <w16cex:commentExtensible w16cex:durableId="297F3FC0" w16cex:dateUtc="2024-02-20T14:12:00Z"/>
  <w16cex:commentExtensible w16cex:durableId="297F48FF" w16cex:dateUtc="2024-02-20T14:51:00Z"/>
  <w16cex:commentExtensible w16cex:durableId="297F5157" w16cex:dateUtc="2024-02-20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D65AB6" w16cid:durableId="297F3E66"/>
  <w16cid:commentId w16cid:paraId="244DDCF7" w16cid:durableId="297F3F05"/>
  <w16cid:commentId w16cid:paraId="03B670F5" w16cid:durableId="297F3FC0"/>
  <w16cid:commentId w16cid:paraId="4B13BB29" w16cid:durableId="297F48FF"/>
  <w16cid:commentId w16cid:paraId="5EB0D9C1" w16cid:durableId="297F51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05F5" w14:textId="77777777" w:rsidR="003E03C2" w:rsidRDefault="003E03C2">
      <w:pPr>
        <w:spacing w:after="0"/>
      </w:pPr>
      <w:r>
        <w:separator/>
      </w:r>
    </w:p>
  </w:endnote>
  <w:endnote w:type="continuationSeparator" w:id="0">
    <w:p w14:paraId="6BEE25A3" w14:textId="77777777" w:rsidR="003E03C2" w:rsidRDefault="003E03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0AB1" w14:textId="77777777" w:rsidR="003F7B10" w:rsidRDefault="003F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C741" w14:textId="77777777" w:rsidR="003F7B10" w:rsidRDefault="003F7B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FD9E" w14:textId="77777777" w:rsidR="003F7B10" w:rsidRDefault="003F7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8701" w14:textId="77777777" w:rsidR="003E03C2" w:rsidRDefault="003E03C2">
      <w:pPr>
        <w:spacing w:after="0"/>
      </w:pPr>
      <w:r>
        <w:separator/>
      </w:r>
    </w:p>
  </w:footnote>
  <w:footnote w:type="continuationSeparator" w:id="0">
    <w:p w14:paraId="5D82BCD7" w14:textId="77777777" w:rsidR="003E03C2" w:rsidRDefault="003E03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EBDD" w14:textId="77777777" w:rsidR="003F7B10" w:rsidRDefault="003F7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A402" w14:textId="77777777" w:rsidR="003F7B10" w:rsidRDefault="003F7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E306" w14:textId="77777777" w:rsidR="003F7B10" w:rsidRDefault="003F7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ED00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F3C1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F0203"/>
    <w:multiLevelType w:val="multilevel"/>
    <w:tmpl w:val="B53E88EC"/>
    <w:styleLink w:val="ListeN"/>
    <w:lvl w:ilvl="0">
      <w:start w:val="1"/>
      <w:numFmt w:val="decimal"/>
      <w:pStyle w:val="Li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5D9F5A38"/>
    <w:multiLevelType w:val="multilevel"/>
    <w:tmpl w:val="CDFA902C"/>
    <w:styleLink w:val="ListeB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60FA28A4"/>
    <w:multiLevelType w:val="multilevel"/>
    <w:tmpl w:val="44D87C9A"/>
    <w:styleLink w:val="ListeH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75C5645D"/>
    <w:multiLevelType w:val="multilevel"/>
    <w:tmpl w:val="B53E88EC"/>
    <w:numStyleLink w:val="ListeN"/>
  </w:abstractNum>
  <w:num w:numId="1" w16cid:durableId="1315910532">
    <w:abstractNumId w:val="4"/>
  </w:num>
  <w:num w:numId="2" w16cid:durableId="1525829285">
    <w:abstractNumId w:val="1"/>
  </w:num>
  <w:num w:numId="3" w16cid:durableId="1476878250">
    <w:abstractNumId w:val="0"/>
  </w:num>
  <w:num w:numId="4" w16cid:durableId="2040007392">
    <w:abstractNumId w:val="3"/>
  </w:num>
  <w:num w:numId="5" w16cid:durableId="1383944706">
    <w:abstractNumId w:val="2"/>
  </w:num>
  <w:num w:numId="6" w16cid:durableId="6180717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lic Milenkovic, Maja [MDDSI]">
    <w15:presenceInfo w15:providerId="AD" w15:userId="S::MGalicMi@its.jnj.com::2a4ae0b9-cff9-4947-b36d-5f52580fbe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12"/>
    <w:rsid w:val="00012261"/>
    <w:rsid w:val="00056447"/>
    <w:rsid w:val="00066D95"/>
    <w:rsid w:val="00073AAE"/>
    <w:rsid w:val="000779F6"/>
    <w:rsid w:val="00083EC2"/>
    <w:rsid w:val="000F20EE"/>
    <w:rsid w:val="000F77D0"/>
    <w:rsid w:val="0012145D"/>
    <w:rsid w:val="00130409"/>
    <w:rsid w:val="00174AC9"/>
    <w:rsid w:val="00187C74"/>
    <w:rsid w:val="00193A93"/>
    <w:rsid w:val="001A28E5"/>
    <w:rsid w:val="001B44DA"/>
    <w:rsid w:val="001B6F23"/>
    <w:rsid w:val="001D35DB"/>
    <w:rsid w:val="0022151D"/>
    <w:rsid w:val="00254E79"/>
    <w:rsid w:val="00256BDE"/>
    <w:rsid w:val="0028668B"/>
    <w:rsid w:val="002A0193"/>
    <w:rsid w:val="002C4090"/>
    <w:rsid w:val="002D6F5E"/>
    <w:rsid w:val="002F2B71"/>
    <w:rsid w:val="003031CB"/>
    <w:rsid w:val="0031237B"/>
    <w:rsid w:val="00326717"/>
    <w:rsid w:val="00330B07"/>
    <w:rsid w:val="00353B15"/>
    <w:rsid w:val="00354220"/>
    <w:rsid w:val="003854E6"/>
    <w:rsid w:val="003A285C"/>
    <w:rsid w:val="003D511E"/>
    <w:rsid w:val="003E03C2"/>
    <w:rsid w:val="003E6B1A"/>
    <w:rsid w:val="003F7B10"/>
    <w:rsid w:val="00404A6E"/>
    <w:rsid w:val="00433AE7"/>
    <w:rsid w:val="004466A6"/>
    <w:rsid w:val="004559EA"/>
    <w:rsid w:val="0045784C"/>
    <w:rsid w:val="004579A3"/>
    <w:rsid w:val="0046074B"/>
    <w:rsid w:val="00466C98"/>
    <w:rsid w:val="004714FA"/>
    <w:rsid w:val="0047360C"/>
    <w:rsid w:val="0047509C"/>
    <w:rsid w:val="00492290"/>
    <w:rsid w:val="00521033"/>
    <w:rsid w:val="005310D6"/>
    <w:rsid w:val="00563436"/>
    <w:rsid w:val="00565141"/>
    <w:rsid w:val="005761D7"/>
    <w:rsid w:val="005867B5"/>
    <w:rsid w:val="00587F0F"/>
    <w:rsid w:val="005C1535"/>
    <w:rsid w:val="005C1EAD"/>
    <w:rsid w:val="005D0FEA"/>
    <w:rsid w:val="005D3B49"/>
    <w:rsid w:val="006010F7"/>
    <w:rsid w:val="00605424"/>
    <w:rsid w:val="00605F70"/>
    <w:rsid w:val="00654CBF"/>
    <w:rsid w:val="00663615"/>
    <w:rsid w:val="00671A51"/>
    <w:rsid w:val="006913CB"/>
    <w:rsid w:val="006B3D29"/>
    <w:rsid w:val="006D404A"/>
    <w:rsid w:val="006F5B4F"/>
    <w:rsid w:val="00702A7C"/>
    <w:rsid w:val="0071455C"/>
    <w:rsid w:val="00720EF3"/>
    <w:rsid w:val="00736735"/>
    <w:rsid w:val="00737636"/>
    <w:rsid w:val="00747469"/>
    <w:rsid w:val="007921F8"/>
    <w:rsid w:val="007B7BED"/>
    <w:rsid w:val="007E7DC9"/>
    <w:rsid w:val="007F6905"/>
    <w:rsid w:val="00803FCC"/>
    <w:rsid w:val="00813F5B"/>
    <w:rsid w:val="00820FE8"/>
    <w:rsid w:val="0082181C"/>
    <w:rsid w:val="00833A3D"/>
    <w:rsid w:val="008525AA"/>
    <w:rsid w:val="00876716"/>
    <w:rsid w:val="008A746C"/>
    <w:rsid w:val="008B19BC"/>
    <w:rsid w:val="008C3FD4"/>
    <w:rsid w:val="00904941"/>
    <w:rsid w:val="00917510"/>
    <w:rsid w:val="009364D8"/>
    <w:rsid w:val="0095452C"/>
    <w:rsid w:val="0097750A"/>
    <w:rsid w:val="00987745"/>
    <w:rsid w:val="009B2A8E"/>
    <w:rsid w:val="009B4177"/>
    <w:rsid w:val="009C74EA"/>
    <w:rsid w:val="009F6155"/>
    <w:rsid w:val="00A03F1D"/>
    <w:rsid w:val="00A06212"/>
    <w:rsid w:val="00A0754D"/>
    <w:rsid w:val="00A163EF"/>
    <w:rsid w:val="00A23F25"/>
    <w:rsid w:val="00A40F5C"/>
    <w:rsid w:val="00A54608"/>
    <w:rsid w:val="00A73008"/>
    <w:rsid w:val="00A76FAB"/>
    <w:rsid w:val="00A9432E"/>
    <w:rsid w:val="00AA6812"/>
    <w:rsid w:val="00AD610E"/>
    <w:rsid w:val="00AF0BC3"/>
    <w:rsid w:val="00AF6569"/>
    <w:rsid w:val="00B15F08"/>
    <w:rsid w:val="00B57DCE"/>
    <w:rsid w:val="00B61566"/>
    <w:rsid w:val="00B66E11"/>
    <w:rsid w:val="00B8053A"/>
    <w:rsid w:val="00BA76A3"/>
    <w:rsid w:val="00BC3D0F"/>
    <w:rsid w:val="00BE2FE5"/>
    <w:rsid w:val="00BF0899"/>
    <w:rsid w:val="00BF7FA3"/>
    <w:rsid w:val="00C12095"/>
    <w:rsid w:val="00C2420D"/>
    <w:rsid w:val="00C33575"/>
    <w:rsid w:val="00C35DA0"/>
    <w:rsid w:val="00C47478"/>
    <w:rsid w:val="00C515FC"/>
    <w:rsid w:val="00C574D7"/>
    <w:rsid w:val="00C80321"/>
    <w:rsid w:val="00C93F50"/>
    <w:rsid w:val="00CB3A69"/>
    <w:rsid w:val="00CC2AC1"/>
    <w:rsid w:val="00CE2B01"/>
    <w:rsid w:val="00D01607"/>
    <w:rsid w:val="00D40561"/>
    <w:rsid w:val="00D53C66"/>
    <w:rsid w:val="00D54127"/>
    <w:rsid w:val="00D61F66"/>
    <w:rsid w:val="00D63D43"/>
    <w:rsid w:val="00D6747C"/>
    <w:rsid w:val="00D73DA5"/>
    <w:rsid w:val="00DA34E9"/>
    <w:rsid w:val="00DB0E55"/>
    <w:rsid w:val="00DC2E8B"/>
    <w:rsid w:val="00DE3021"/>
    <w:rsid w:val="00DF4D59"/>
    <w:rsid w:val="00E02BBE"/>
    <w:rsid w:val="00E13895"/>
    <w:rsid w:val="00E41B14"/>
    <w:rsid w:val="00E54092"/>
    <w:rsid w:val="00E74841"/>
    <w:rsid w:val="00E76679"/>
    <w:rsid w:val="00EA7DF1"/>
    <w:rsid w:val="00EB43F4"/>
    <w:rsid w:val="00ED10AB"/>
    <w:rsid w:val="00ED2B57"/>
    <w:rsid w:val="00EF2EC0"/>
    <w:rsid w:val="00F0126B"/>
    <w:rsid w:val="00F031D4"/>
    <w:rsid w:val="00F4124B"/>
    <w:rsid w:val="00F80D09"/>
    <w:rsid w:val="00F97670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85C04"/>
  <w15:docId w15:val="{5348377A-0274-49DA-A609-6015634B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iPriority="16" w:unhideWhenUsed="1" w:qFormat="1"/>
    <w:lsdException w:name="List Bullet" w:uiPriority="14" w:qFormat="1"/>
    <w:lsdException w:name="List Number" w:semiHidden="1"/>
    <w:lsdException w:name="List 2" w:uiPriority="16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7" w:qFormat="1"/>
    <w:lsdException w:name="Salutation" w:semiHidden="1" w:unhideWhenUsed="1"/>
    <w:lsdException w:name="Date" w:semiHidden="1" w:uiPriority="2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0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1" w:qFormat="1"/>
    <w:lsdException w:name="Intense Emphasis" w:uiPriority="10" w:qFormat="1"/>
    <w:lsdException w:name="Subtle Reference" w:uiPriority="1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D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1"/>
      </w:numPr>
      <w:spacing w:after="0" w:line="276" w:lineRule="auto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1"/>
      </w:numPr>
      <w:spacing w:after="0" w:line="276" w:lineRule="auto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after="0" w:line="276" w:lineRule="auto"/>
      <w:contextualSpacing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8"/>
    <w:semiHidden/>
    <w:rsid w:val="00B61566"/>
    <w:pPr>
      <w:tabs>
        <w:tab w:val="right" w:pos="963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18"/>
    <w:semiHidden/>
    <w:rsid w:val="00B61566"/>
  </w:style>
  <w:style w:type="paragraph" w:styleId="Footer">
    <w:name w:val="footer"/>
    <w:basedOn w:val="Normal"/>
    <w:link w:val="FooterChar"/>
    <w:uiPriority w:val="19"/>
    <w:semiHidden/>
    <w:rsid w:val="00B61566"/>
    <w:pPr>
      <w:tabs>
        <w:tab w:val="right" w:pos="963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9"/>
    <w:semiHidden/>
    <w:rsid w:val="00B61566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klein">
    <w:name w:val="Kontakt klein"/>
    <w:basedOn w:val="Normal"/>
    <w:uiPriority w:val="3"/>
    <w:pPr>
      <w:tabs>
        <w:tab w:val="right" w:pos="4423"/>
      </w:tabs>
      <w:spacing w:after="0" w:line="348" w:lineRule="auto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6"/>
    <w:semiHidden/>
    <w:qFormat/>
    <w:pPr>
      <w:spacing w:line="276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6"/>
    <w:semiHidden/>
    <w:rsid w:val="00521033"/>
    <w:rPr>
      <w:rFonts w:asciiTheme="majorHAnsi" w:eastAsiaTheme="majorEastAsia" w:hAnsiTheme="majorHAnsi" w:cstheme="majorBidi"/>
      <w:b/>
      <w:color w:val="000000" w:themeColor="text1"/>
      <w:kern w:val="28"/>
      <w:szCs w:val="52"/>
    </w:rPr>
  </w:style>
  <w:style w:type="paragraph" w:customStyle="1" w:styleId="Kontakt">
    <w:name w:val="Kontakt"/>
    <w:basedOn w:val="Normal"/>
    <w:uiPriority w:val="3"/>
    <w:pPr>
      <w:spacing w:after="0" w:line="276" w:lineRule="auto"/>
    </w:pPr>
  </w:style>
  <w:style w:type="paragraph" w:styleId="NoSpacing">
    <w:name w:val="No Spacing"/>
    <w:uiPriority w:val="1"/>
    <w:qFormat/>
    <w:rsid w:val="00833A3D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02A7C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2A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02A7C"/>
    <w:rPr>
      <w:rFonts w:asciiTheme="majorHAnsi" w:eastAsiaTheme="majorEastAsia" w:hAnsiTheme="majorHAnsi" w:cstheme="majorBidi"/>
      <w:b/>
      <w:bCs/>
      <w:iCs/>
    </w:rPr>
  </w:style>
  <w:style w:type="character" w:styleId="Emphasis">
    <w:name w:val="Emphasis"/>
    <w:basedOn w:val="DefaultParagraphFont"/>
    <w:uiPriority w:val="10"/>
    <w:semiHidden/>
    <w:qFormat/>
    <w:rPr>
      <w:i/>
      <w:iCs/>
      <w:color w:val="828895" w:themeColor="accent2"/>
    </w:rPr>
  </w:style>
  <w:style w:type="numbering" w:customStyle="1" w:styleId="ListeN">
    <w:name w:val="Liste_N"/>
    <w:basedOn w:val="NoList"/>
    <w:uiPriority w:val="99"/>
    <w:pPr>
      <w:numPr>
        <w:numId w:val="5"/>
      </w:numPr>
    </w:pPr>
  </w:style>
  <w:style w:type="numbering" w:customStyle="1" w:styleId="ListeH">
    <w:name w:val="Liste_H"/>
    <w:basedOn w:val="NoList"/>
    <w:uiPriority w:val="99"/>
    <w:pPr>
      <w:numPr>
        <w:numId w:val="1"/>
      </w:numPr>
    </w:pPr>
  </w:style>
  <w:style w:type="numbering" w:customStyle="1" w:styleId="ListeB">
    <w:name w:val="Liste_B"/>
    <w:basedOn w:val="NoList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8"/>
    <w:qFormat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"/>
      </w:numPr>
      <w:contextualSpacing/>
    </w:pPr>
  </w:style>
  <w:style w:type="paragraph" w:styleId="List">
    <w:name w:val="List"/>
    <w:basedOn w:val="Normal"/>
    <w:uiPriority w:val="9"/>
    <w:qFormat/>
    <w:pPr>
      <w:numPr>
        <w:numId w:val="5"/>
      </w:numPr>
      <w:contextualSpacing/>
    </w:pPr>
  </w:style>
  <w:style w:type="paragraph" w:styleId="List2">
    <w:name w:val="List 2"/>
    <w:basedOn w:val="Normal"/>
    <w:uiPriority w:val="9"/>
    <w:qFormat/>
    <w:pPr>
      <w:numPr>
        <w:ilvl w:val="1"/>
        <w:numId w:val="5"/>
      </w:numPr>
      <w:contextualSpacing/>
    </w:pPr>
  </w:style>
  <w:style w:type="paragraph" w:styleId="Date">
    <w:name w:val="Date"/>
    <w:basedOn w:val="Normal"/>
    <w:next w:val="Normal"/>
    <w:link w:val="DateChar"/>
    <w:uiPriority w:val="4"/>
    <w:rsid w:val="00917510"/>
    <w:pPr>
      <w:spacing w:line="276" w:lineRule="auto"/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4"/>
    <w:rsid w:val="00702A7C"/>
    <w:rPr>
      <w:b/>
    </w:rPr>
  </w:style>
  <w:style w:type="paragraph" w:customStyle="1" w:styleId="FuzeileKontakt">
    <w:name w:val="Fußzeile Kontakt"/>
    <w:basedOn w:val="Footer"/>
    <w:uiPriority w:val="19"/>
    <w:semiHidden/>
    <w:rsid w:val="00056447"/>
    <w:pPr>
      <w:spacing w:line="140" w:lineRule="exact"/>
    </w:pPr>
    <w:rPr>
      <w:rFonts w:ascii="Noto Sans" w:hAnsi="Noto Sans" w:cs="Noto Sans"/>
      <w:color w:val="828895" w:themeColor="accent2"/>
      <w:spacing w:val="-1"/>
      <w:sz w:val="12"/>
      <w:szCs w:val="12"/>
    </w:rPr>
  </w:style>
  <w:style w:type="paragraph" w:customStyle="1" w:styleId="INVISIBLE">
    <w:name w:val="INVISIBLE"/>
    <w:basedOn w:val="Normal"/>
    <w:semiHidden/>
    <w:rsid w:val="00A9432E"/>
    <w:pPr>
      <w:spacing w:after="0" w:line="14" w:lineRule="exact"/>
    </w:pPr>
    <w:rPr>
      <w:color w:val="FFFFFF" w:themeColor="background1"/>
      <w:sz w:val="2"/>
    </w:rPr>
  </w:style>
  <w:style w:type="paragraph" w:customStyle="1" w:styleId="Betreff">
    <w:name w:val="Betreff"/>
    <w:basedOn w:val="Normal"/>
    <w:uiPriority w:val="5"/>
    <w:rsid w:val="00433AE7"/>
    <w:pPr>
      <w:spacing w:line="276" w:lineRule="auto"/>
      <w:contextualSpacing/>
    </w:pPr>
    <w:rPr>
      <w:rFonts w:asciiTheme="majorHAnsi" w:hAnsiTheme="majorHAnsi" w:cstheme="majorHAnsi"/>
      <w:b/>
      <w:bCs/>
    </w:rPr>
  </w:style>
  <w:style w:type="paragraph" w:styleId="Subtitle">
    <w:name w:val="Subtitle"/>
    <w:basedOn w:val="Normal"/>
    <w:next w:val="Normal"/>
    <w:link w:val="SubtitleChar"/>
    <w:uiPriority w:val="7"/>
    <w:semiHidden/>
    <w:qFormat/>
    <w:rsid w:val="005867B5"/>
    <w:pPr>
      <w:numPr>
        <w:ilvl w:val="1"/>
      </w:numPr>
      <w:spacing w:after="160" w:line="36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5867B5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10"/>
    <w:semiHidden/>
    <w:qFormat/>
    <w:rsid w:val="00B57DCE"/>
    <w:rPr>
      <w:i/>
      <w:iCs/>
      <w:color w:val="005DB9" w:themeColor="accent1"/>
    </w:rPr>
  </w:style>
  <w:style w:type="paragraph" w:styleId="Quote">
    <w:name w:val="Quote"/>
    <w:basedOn w:val="Normal"/>
    <w:next w:val="Normal"/>
    <w:link w:val="QuoteChar"/>
    <w:uiPriority w:val="10"/>
    <w:semiHidden/>
    <w:qFormat/>
    <w:rsid w:val="00B57D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0"/>
    <w:semiHidden/>
    <w:rsid w:val="005210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11"/>
    <w:semiHidden/>
    <w:qFormat/>
    <w:rsid w:val="00B57DCE"/>
    <w:pPr>
      <w:pBdr>
        <w:top w:val="single" w:sz="4" w:space="10" w:color="005DB9" w:themeColor="accent1"/>
        <w:bottom w:val="single" w:sz="4" w:space="10" w:color="005DB9" w:themeColor="accent1"/>
      </w:pBdr>
      <w:spacing w:before="360" w:after="360"/>
      <w:ind w:left="864" w:right="864"/>
      <w:jc w:val="center"/>
    </w:pPr>
    <w:rPr>
      <w:i/>
      <w:iCs/>
      <w:color w:val="005D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11"/>
    <w:semiHidden/>
    <w:rsid w:val="00521033"/>
    <w:rPr>
      <w:i/>
      <w:iCs/>
      <w:color w:val="005DB9" w:themeColor="accent1"/>
    </w:rPr>
  </w:style>
  <w:style w:type="character" w:styleId="SubtleEmphasis">
    <w:name w:val="Subtle Emphasis"/>
    <w:basedOn w:val="DefaultParagraphFont"/>
    <w:uiPriority w:val="11"/>
    <w:semiHidden/>
    <w:qFormat/>
    <w:rsid w:val="00B57D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11"/>
    <w:semiHidden/>
    <w:qFormat/>
    <w:rsid w:val="00B57DCE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A546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2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F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jovanovic\AppData\Local\Temp\Templafy\WordVsto\zxbd2ppz.dotx" TargetMode="External"/></Relationships>
</file>

<file path=word/theme/theme1.xml><?xml version="1.0" encoding="utf-8"?>
<a:theme xmlns:a="http://schemas.openxmlformats.org/drawingml/2006/main" name="Stada">
  <a:themeElements>
    <a:clrScheme name="Stada Colors">
      <a:dk1>
        <a:srgbClr val="000000"/>
      </a:dk1>
      <a:lt1>
        <a:srgbClr val="FFFFFF"/>
      </a:lt1>
      <a:dk2>
        <a:srgbClr val="D50058"/>
      </a:dk2>
      <a:lt2>
        <a:srgbClr val="E1C8B4"/>
      </a:lt2>
      <a:accent1>
        <a:srgbClr val="005DB9"/>
      </a:accent1>
      <a:accent2>
        <a:srgbClr val="828895"/>
      </a:accent2>
      <a:accent3>
        <a:srgbClr val="0CC5FD"/>
      </a:accent3>
      <a:accent4>
        <a:srgbClr val="229C49"/>
      </a:accent4>
      <a:accent5>
        <a:srgbClr val="E6EB97"/>
      </a:accent5>
      <a:accent6>
        <a:srgbClr val="E7E7E7"/>
      </a:accent6>
      <a:hlink>
        <a:srgbClr val="005DB9"/>
      </a:hlink>
      <a:folHlink>
        <a:srgbClr val="0CC5FD"/>
      </a:folHlink>
    </a:clrScheme>
    <a:fontScheme name="STADA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 sz="1400" b="1" dirty="0" err="1">
            <a:solidFill>
              <a:schemeClr val="accent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wrap="none" lIns="0" tIns="0" rIns="0" bIns="0" rtlCol="0" anchor="ctr">
        <a:spAutoFit/>
      </a:bodyPr>
      <a:lstStyle>
        <a:defPPr algn="l">
          <a:lnSpc>
            <a:spcPct val="110000"/>
          </a:lnSpc>
          <a:defRPr sz="1400" b="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Stada" id="{6343BC99-31F5-4E26-B483-936860B97847}" vid="{53E06B5B-D8BA-4606-9A51-B3C5EE8AEF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2EED3AEDAB24AB48AF05A7A255DF4" ma:contentTypeVersion="20" ma:contentTypeDescription="Ein neues Dokument erstellen." ma:contentTypeScope="" ma:versionID="801b490b27e9573c13161681ba9bcef9">
  <xsd:schema xmlns:xsd="http://www.w3.org/2001/XMLSchema" xmlns:xs="http://www.w3.org/2001/XMLSchema" xmlns:p="http://schemas.microsoft.com/office/2006/metadata/properties" xmlns:ns2="07c8a24f-8b40-44ca-950f-ae5db2c4fa23" xmlns:ns3="71d337dc-809a-4269-a690-d6cd31b4acd0" targetNamespace="http://schemas.microsoft.com/office/2006/metadata/properties" ma:root="true" ma:fieldsID="f944d40614e88ef74fdd27050b1b40d4" ns2:_="" ns3:_="">
    <xsd:import namespace="07c8a24f-8b40-44ca-950f-ae5db2c4fa23"/>
    <xsd:import namespace="71d337dc-809a-4269-a690-d6cd31b4a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8a24f-8b40-44ca-950f-ae5db2c4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a650111-7fb8-408c-8449-112adb6e2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337dc-809a-4269-a690-d6cd31b4a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5698-4e7b-49a9-bf00-a8b38c5133ff}" ma:internalName="TaxCatchAll" ma:showField="CatchAllData" ma:web="71d337dc-809a-4269-a690-d6cd31b4a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],"formDataEntries":[]}]]></TemplafyFormConfiguration>
</file>

<file path=customXml/item5.xml><?xml version="1.0" encoding="utf-8"?>
<TemplafyTemplateConfiguration><![CDATA[{"elementsMetadata":[],"transformationConfigurations":[{"colorTheme":"{{UserProfile.Department.REFColorThemes.ColorTheme}}","disableUpdates":false,"originalColorThemeXml":"<a:clrScheme name=\"Stada Colors\" xmlns:a=\"http://schemas.openxmlformats.org/drawingml/2006/main\"><a:dk1><a:srgbClr val=\"000000\" /></a:dk1><a:lt1><a:srgbClr val=\"FFFFFF\" /></a:lt1><a:dk2><a:srgbClr val=\"D50058\" /></a:dk2><a:lt2><a:srgbClr val=\"E1C8B4\" /></a:lt2><a:accent1><a:srgbClr val=\"005DB9\" /></a:accent1><a:accent2><a:srgbClr val=\"828895\" /></a:accent2><a:accent3><a:srgbClr val=\"0CC5FD\" /></a:accent3><a:accent4><a:srgbClr val=\"229C49\" /></a:accent4><a:accent5><a:srgbClr val=\"E6EB97\" /></a:accent5><a:accent6><a:srgbClr val=\"E7E7E7\" /></a:accent6><a:hlink><a:srgbClr val=\"005DB9\" /></a:hlink><a:folHlink><a:srgbClr val=\"0CC5FD\" /></a:folHlink></a:clrScheme>","type":"colorTheme"}],"templateName":"Blank document","templateDescription":"","enableDocumentContentUpdater":true,"version":"2.0"}]]></TemplafyTemplate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8a24f-8b40-44ca-950f-ae5db2c4fa23">
      <Terms xmlns="http://schemas.microsoft.com/office/infopath/2007/PartnerControls"/>
    </lcf76f155ced4ddcb4097134ff3c332f>
    <TaxCatchAll xmlns="71d337dc-809a-4269-a690-d6cd31b4acd0" xsi:nil="true"/>
  </documentManagement>
</p:properties>
</file>

<file path=customXml/itemProps1.xml><?xml version="1.0" encoding="utf-8"?>
<ds:datastoreItem xmlns:ds="http://schemas.openxmlformats.org/officeDocument/2006/customXml" ds:itemID="{84CA2DC5-9B9D-4336-9A84-07E66D88D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0D7CE-987E-4EB0-A396-A39272F67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8a24f-8b40-44ca-950f-ae5db2c4fa23"/>
    <ds:schemaRef ds:uri="71d337dc-809a-4269-a690-d6cd31b4a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63E20-3932-464F-AD57-CB6134EA3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ECFCC-CE7C-4B27-8B14-2CA0B0048A5A}">
  <ds:schemaRefs/>
</ds:datastoreItem>
</file>

<file path=customXml/itemProps5.xml><?xml version="1.0" encoding="utf-8"?>
<ds:datastoreItem xmlns:ds="http://schemas.openxmlformats.org/officeDocument/2006/customXml" ds:itemID="{CFE7B6BE-E4A6-4F31-9145-8082D053FEDF}">
  <ds:schemaRefs/>
</ds:datastoreItem>
</file>

<file path=customXml/itemProps6.xml><?xml version="1.0" encoding="utf-8"?>
<ds:datastoreItem xmlns:ds="http://schemas.openxmlformats.org/officeDocument/2006/customXml" ds:itemID="{028DB92F-3919-4882-B91D-41005C300E25}">
  <ds:schemaRefs>
    <ds:schemaRef ds:uri="http://schemas.microsoft.com/office/2006/metadata/properties"/>
    <ds:schemaRef ds:uri="http://schemas.microsoft.com/office/infopath/2007/PartnerControls"/>
    <ds:schemaRef ds:uri="07c8a24f-8b40-44ca-950f-ae5db2c4fa23"/>
    <ds:schemaRef ds:uri="71d337dc-809a-4269-a690-d6cd31b4a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zxbd2ppz.dotx</Template>
  <TotalTime>1</TotalTime>
  <Pages>9</Pages>
  <Words>3324</Words>
  <Characters>18953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STADA Arzneimittel AG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Jovanovic-Sunturlic</dc:creator>
  <cp:lastModifiedBy>Snezana Doder</cp:lastModifiedBy>
  <cp:revision>2</cp:revision>
  <cp:lastPrinted>2024-02-20T13:04:00Z</cp:lastPrinted>
  <dcterms:created xsi:type="dcterms:W3CDTF">2024-02-21T11:52:00Z</dcterms:created>
  <dcterms:modified xsi:type="dcterms:W3CDTF">2024-02-21T11:52:00Z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0x01010034C2EED3AEDAB24AB48AF05A7A255DF4</vt:lpwstr>
  </property>
  <property fmtid="{D5CDD505-2E9C-101B-9397-08002B2CF9AE}" pid="3" name="MediaServiceImageTags">
    <vt:lpwstr/>
  </property>
  <property fmtid="{D5CDD505-2E9C-101B-9397-08002B2CF9AE}" pid="4" name="TemplafyTenantId">
    <vt:lpwstr>stada</vt:lpwstr>
  </property>
  <property fmtid="{D5CDD505-2E9C-101B-9397-08002B2CF9AE}" pid="5" name="TemplafyTemplateId">
    <vt:lpwstr>638005662664602497</vt:lpwstr>
  </property>
  <property fmtid="{D5CDD505-2E9C-101B-9397-08002B2CF9AE}" pid="6" name="TemplafyUserProfileId">
    <vt:lpwstr>727174592015106126</vt:lpwstr>
  </property>
  <property fmtid="{D5CDD505-2E9C-101B-9397-08002B2CF9AE}" pid="7" name="TemplafyLanguageCode">
    <vt:lpwstr>en-US</vt:lpwstr>
  </property>
  <property fmtid="{D5CDD505-2E9C-101B-9397-08002B2CF9AE}" pid="8" name="TemplafyFromBlank">
    <vt:bool>true</vt:bool>
  </property>
</Properties>
</file>